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CCA34" w14:textId="77777777" w:rsidR="007E0221" w:rsidRDefault="00317822">
      <w:pPr>
        <w:adjustRightInd w:val="0"/>
        <w:snapToGrid w:val="0"/>
        <w:spacing w:beforeLines="50" w:before="156" w:afterLines="50" w:after="156" w:line="400" w:lineRule="exact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A</w:t>
      </w:r>
      <w:r>
        <w:rPr>
          <w:rFonts w:ascii="Times New Roman" w:hAnsi="Times New Roman" w:cs="Times New Roman"/>
          <w:b/>
          <w:sz w:val="30"/>
          <w:szCs w:val="30"/>
        </w:rPr>
        <w:t>题</w:t>
      </w:r>
      <w:r>
        <w:rPr>
          <w:rFonts w:ascii="Times New Roman" w:hAnsi="Times New Roman" w:cs="Times New Roman" w:hint="eastAsia"/>
          <w:b/>
          <w:sz w:val="30"/>
          <w:szCs w:val="30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煤矿巷道支护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问题</w:t>
      </w:r>
    </w:p>
    <w:p w14:paraId="573631E3" w14:textId="77777777" w:rsidR="007E0221" w:rsidRDefault="00317822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煤矿巷道是矿井高效安全生产的重要咽喉工程，巷道围岩支护是防止顶板垮塌以及保障设备正常运行的重要手段。在众多支护技术中，锚杆支护凭借其施工便捷、适应性强和经济高效等优势，在巷道支护中扮演着不可替代的作用，并且在岩土工程、人防工程、桥梁隧道、城市地铁等领域也有着广泛的应用。</w:t>
      </w:r>
    </w:p>
    <w:p w14:paraId="5524BB30" w14:textId="77777777" w:rsidR="007E0221" w:rsidRDefault="00317822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锚杆的支护原理是通过拧紧锚杆尾端螺母施加预紧力矩，经由螺纹传动转化为沿杆体轴向的预紧力，进而使围岩由二向受力状态转化为三向受力状态，实现主动支护（如图</w:t>
      </w: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所示）。在工程实践中，一般认为预紧力矩越高，</w:t>
      </w:r>
      <w:r>
        <w:rPr>
          <w:rFonts w:ascii="Times New Roman" w:eastAsia="宋体" w:hAnsi="Times New Roman" w:cs="Times New Roman" w:hint="eastAsia"/>
          <w:sz w:val="24"/>
        </w:rPr>
        <w:t>预紧力</w:t>
      </w:r>
      <w:r>
        <w:rPr>
          <w:rFonts w:ascii="Times New Roman" w:eastAsia="宋体" w:hAnsi="Times New Roman" w:cs="Times New Roman"/>
          <w:sz w:val="24"/>
        </w:rPr>
        <w:t>越大，支护效果越好。然而，预紧力矩与预紧力之间的转换并非简单的线性关系，还受螺纹间隙、接触面状态、围岩性质等多种因素的影响。因此，深入研究预紧力矩与预紧力的转换机制，对于实现巷道科学支护具有重要意义。</w:t>
      </w:r>
    </w:p>
    <w:tbl>
      <w:tblPr>
        <w:tblStyle w:val="af3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5496"/>
      </w:tblGrid>
      <w:tr w:rsidR="007E0221" w14:paraId="3A35EF30" w14:textId="77777777">
        <w:trPr>
          <w:trHeight w:val="2268"/>
        </w:trPr>
        <w:tc>
          <w:tcPr>
            <w:tcW w:w="3516" w:type="dxa"/>
          </w:tcPr>
          <w:p w14:paraId="7D2E0596" w14:textId="77777777" w:rsidR="007E0221" w:rsidRDefault="00317822">
            <w:pPr>
              <w:spacing w:line="240" w:lineRule="auto"/>
              <w:jc w:val="center"/>
              <w:rPr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3776F371" wp14:editId="696614D5">
                  <wp:extent cx="2082165" cy="2159635"/>
                  <wp:effectExtent l="0" t="0" r="13335" b="12065"/>
                  <wp:docPr id="94445206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445206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2658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  <w:vAlign w:val="bottom"/>
          </w:tcPr>
          <w:p w14:paraId="699953EF" w14:textId="77777777" w:rsidR="007E0221" w:rsidRDefault="00317822">
            <w:pPr>
              <w:spacing w:line="24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 wp14:anchorId="0C3A26F8" wp14:editId="2DF5A7AD">
                  <wp:extent cx="2188845" cy="1410335"/>
                  <wp:effectExtent l="0" t="0" r="1905" b="0"/>
                  <wp:docPr id="15229608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96080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85" t="2725" r="9034" b="58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7210" cy="1422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0221" w14:paraId="5F9893CF" w14:textId="77777777">
        <w:tc>
          <w:tcPr>
            <w:tcW w:w="3516" w:type="dxa"/>
          </w:tcPr>
          <w:p w14:paraId="4225C57A" w14:textId="77777777" w:rsidR="007E0221" w:rsidRDefault="00317822">
            <w:pPr>
              <w:spacing w:after="0" w:line="400" w:lineRule="exact"/>
              <w:ind w:firstLineChars="200" w:firstLine="420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(</w:t>
            </w:r>
            <w:r>
              <w:rPr>
                <w:rFonts w:ascii="Times New Roman" w:eastAsia="宋体" w:hAnsi="Times New Roman" w:cs="Times New Roman" w:hint="eastAsia"/>
                <w:i/>
                <w:iCs/>
                <w:sz w:val="21"/>
                <w:szCs w:val="21"/>
              </w:rPr>
              <w:t>a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)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锚杆支护剖面图</w:t>
            </w:r>
          </w:p>
        </w:tc>
        <w:tc>
          <w:tcPr>
            <w:tcW w:w="5496" w:type="dxa"/>
          </w:tcPr>
          <w:p w14:paraId="3E15A646" w14:textId="77777777" w:rsidR="007E0221" w:rsidRDefault="00317822">
            <w:pPr>
              <w:spacing w:after="0" w:line="400" w:lineRule="exact"/>
              <w:ind w:firstLineChars="200" w:firstLine="420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(</w:t>
            </w:r>
            <w:r>
              <w:rPr>
                <w:rFonts w:ascii="Times New Roman" w:eastAsia="宋体" w:hAnsi="Times New Roman" w:cs="Times New Roman" w:hint="eastAsia"/>
                <w:i/>
                <w:iCs/>
                <w:sz w:val="21"/>
                <w:szCs w:val="21"/>
              </w:rPr>
              <w:t>b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)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锚杆支护构件组装</w:t>
            </w:r>
          </w:p>
        </w:tc>
      </w:tr>
    </w:tbl>
    <w:p w14:paraId="7B6B57DE" w14:textId="77777777" w:rsidR="007E0221" w:rsidRDefault="00317822">
      <w:pPr>
        <w:spacing w:after="0" w:line="400" w:lineRule="exact"/>
        <w:ind w:firstLineChars="200" w:firstLine="420"/>
        <w:contextualSpacing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图</w:t>
      </w:r>
      <w:r>
        <w:rPr>
          <w:rFonts w:ascii="Times New Roman" w:eastAsia="宋体" w:hAnsi="Times New Roman" w:cs="Times New Roman" w:hint="eastAsia"/>
          <w:sz w:val="21"/>
          <w:szCs w:val="21"/>
        </w:rPr>
        <w:t xml:space="preserve">1  </w:t>
      </w:r>
      <w:r>
        <w:rPr>
          <w:rFonts w:ascii="Times New Roman" w:eastAsia="宋体" w:hAnsi="Times New Roman" w:cs="Times New Roman" w:hint="eastAsia"/>
          <w:sz w:val="21"/>
          <w:szCs w:val="21"/>
        </w:rPr>
        <w:t>锚杆支护示意图</w:t>
      </w:r>
    </w:p>
    <w:p w14:paraId="6016E086" w14:textId="77777777" w:rsidR="007E0221" w:rsidRDefault="00317822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《煤矿预应力锚固施工技术规范》</w:t>
      </w:r>
      <w:r>
        <w:rPr>
          <w:rFonts w:ascii="Times New Roman" w:eastAsia="宋体" w:hAnsi="Times New Roman" w:cs="Times New Roman" w:hint="eastAsia"/>
          <w:sz w:val="24"/>
        </w:rPr>
        <w:t>中</w:t>
      </w:r>
      <w:r>
        <w:rPr>
          <w:rFonts w:ascii="Times New Roman" w:eastAsia="宋体" w:hAnsi="Times New Roman" w:cs="Times New Roman"/>
          <w:sz w:val="24"/>
        </w:rPr>
        <w:t>虽规定初始预紧力矩应不低于</w:t>
      </w:r>
      <w:r>
        <w:rPr>
          <w:rFonts w:ascii="Times New Roman" w:eastAsia="宋体" w:hAnsi="Times New Roman" w:cs="Times New Roman"/>
          <w:sz w:val="24"/>
        </w:rPr>
        <w:t xml:space="preserve">150 </w:t>
      </w:r>
      <w:proofErr w:type="spellStart"/>
      <w:r>
        <w:rPr>
          <w:rFonts w:ascii="Times New Roman" w:eastAsia="宋体" w:hAnsi="Times New Roman" w:cs="Times New Roman"/>
          <w:sz w:val="24"/>
        </w:rPr>
        <w:t>N·m</w:t>
      </w:r>
      <w:proofErr w:type="spellEnd"/>
      <w:r>
        <w:rPr>
          <w:rFonts w:ascii="Times New Roman" w:eastAsia="宋体" w:hAnsi="Times New Roman" w:cs="Times New Roman"/>
          <w:sz w:val="24"/>
        </w:rPr>
        <w:t>，但在实际操作中，往往出现预紧力矩达标而预紧力不足的低效支护现象；或者在松软煤体中，因盲目追求高力矩导致</w:t>
      </w:r>
      <w:r>
        <w:rPr>
          <w:rFonts w:ascii="Times New Roman" w:eastAsia="宋体" w:hAnsi="Times New Roman" w:cs="Times New Roman" w:hint="eastAsia"/>
          <w:sz w:val="24"/>
        </w:rPr>
        <w:t>托盘及</w:t>
      </w:r>
      <w:r>
        <w:rPr>
          <w:rFonts w:ascii="Times New Roman" w:eastAsia="宋体" w:hAnsi="Times New Roman" w:cs="Times New Roman"/>
          <w:sz w:val="24"/>
        </w:rPr>
        <w:t>螺母</w:t>
      </w:r>
      <w:proofErr w:type="gramStart"/>
      <w:r>
        <w:rPr>
          <w:rFonts w:ascii="Times New Roman" w:eastAsia="宋体" w:hAnsi="Times New Roman" w:cs="Times New Roman"/>
          <w:sz w:val="24"/>
        </w:rPr>
        <w:t>钻入煤体</w:t>
      </w:r>
      <w:proofErr w:type="gramEnd"/>
      <w:r>
        <w:rPr>
          <w:rFonts w:ascii="Times New Roman" w:eastAsia="宋体" w:hAnsi="Times New Roman" w:cs="Times New Roman" w:hint="eastAsia"/>
          <w:sz w:val="24"/>
        </w:rPr>
        <w:t>影响支护效果</w:t>
      </w:r>
      <w:r>
        <w:rPr>
          <w:rFonts w:ascii="Times New Roman" w:eastAsia="宋体" w:hAnsi="Times New Roman" w:cs="Times New Roman"/>
          <w:sz w:val="24"/>
        </w:rPr>
        <w:t>（如图</w:t>
      </w:r>
      <w:r>
        <w:rPr>
          <w:rFonts w:ascii="Times New Roman" w:eastAsia="宋体" w:hAnsi="Times New Roman" w:cs="Times New Roman" w:hint="eastAsia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所示）。如何精准建立预紧力矩与</w:t>
      </w:r>
      <w:r>
        <w:rPr>
          <w:rFonts w:ascii="Times New Roman" w:eastAsia="宋体" w:hAnsi="Times New Roman" w:cs="Times New Roman" w:hint="eastAsia"/>
          <w:sz w:val="24"/>
        </w:rPr>
        <w:t>预紧力</w:t>
      </w:r>
      <w:r>
        <w:rPr>
          <w:rFonts w:ascii="Times New Roman" w:eastAsia="宋体" w:hAnsi="Times New Roman" w:cs="Times New Roman"/>
          <w:sz w:val="24"/>
        </w:rPr>
        <w:t>的转换模型，揭示不同界面条件下的影响规律，并据此确定临界预紧力矩以</w:t>
      </w:r>
      <w:r>
        <w:rPr>
          <w:rFonts w:ascii="Times New Roman" w:eastAsia="宋体" w:hAnsi="Times New Roman" w:cs="Times New Roman" w:hint="eastAsia"/>
          <w:sz w:val="24"/>
        </w:rPr>
        <w:t>获得</w:t>
      </w:r>
      <w:r>
        <w:rPr>
          <w:rFonts w:ascii="Times New Roman" w:eastAsia="宋体" w:hAnsi="Times New Roman" w:cs="Times New Roman"/>
          <w:sz w:val="24"/>
        </w:rPr>
        <w:t>最优施工参数，是实现巷道支护智能化、绿色化的关键科学问题。</w:t>
      </w:r>
    </w:p>
    <w:p w14:paraId="68B05EB3" w14:textId="77777777" w:rsidR="007E0221" w:rsidRDefault="007E0221"/>
    <w:tbl>
      <w:tblPr>
        <w:tblStyle w:val="af3"/>
        <w:tblW w:w="0" w:type="auto"/>
        <w:tblInd w:w="5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7"/>
        <w:gridCol w:w="4622"/>
      </w:tblGrid>
      <w:tr w:rsidR="007E0221" w14:paraId="5AF957FE" w14:textId="77777777">
        <w:tc>
          <w:tcPr>
            <w:tcW w:w="4407" w:type="dxa"/>
          </w:tcPr>
          <w:p w14:paraId="512DFA0E" w14:textId="77777777" w:rsidR="007E0221" w:rsidRDefault="00317822">
            <w:pPr>
              <w:spacing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42E5870" wp14:editId="41038A31">
                  <wp:extent cx="2519680" cy="1890395"/>
                  <wp:effectExtent l="0" t="0" r="0" b="0"/>
                  <wp:docPr id="137453961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4539614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890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2" w:type="dxa"/>
          </w:tcPr>
          <w:p w14:paraId="6BDEBCAE" w14:textId="77777777" w:rsidR="007E0221" w:rsidRDefault="00317822">
            <w:pPr>
              <w:spacing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3FD95AE8" wp14:editId="10815FB5">
                  <wp:extent cx="2519680" cy="1889125"/>
                  <wp:effectExtent l="0" t="0" r="0" b="0"/>
                  <wp:docPr id="37677616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776169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88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0221" w14:paraId="4571E499" w14:textId="77777777">
        <w:tc>
          <w:tcPr>
            <w:tcW w:w="4407" w:type="dxa"/>
          </w:tcPr>
          <w:p w14:paraId="2AB1A3FC" w14:textId="77777777" w:rsidR="007E0221" w:rsidRDefault="00317822">
            <w:pPr>
              <w:spacing w:after="0" w:line="400" w:lineRule="exact"/>
              <w:ind w:firstLineChars="200" w:firstLine="420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lastRenderedPageBreak/>
              <w:t>(</w:t>
            </w:r>
            <w:r>
              <w:rPr>
                <w:rFonts w:ascii="Times New Roman" w:eastAsia="宋体" w:hAnsi="Times New Roman" w:cs="Times New Roman" w:hint="eastAsia"/>
                <w:i/>
                <w:iCs/>
                <w:sz w:val="21"/>
                <w:szCs w:val="21"/>
              </w:rPr>
              <w:t>a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)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预紧力施加合理的巷道支护图</w:t>
            </w:r>
          </w:p>
        </w:tc>
        <w:tc>
          <w:tcPr>
            <w:tcW w:w="4622" w:type="dxa"/>
          </w:tcPr>
          <w:p w14:paraId="7BECC5EC" w14:textId="77777777" w:rsidR="007E0221" w:rsidRDefault="00317822">
            <w:pPr>
              <w:spacing w:after="0" w:line="400" w:lineRule="exact"/>
              <w:ind w:firstLineChars="200" w:firstLine="420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(</w:t>
            </w:r>
            <w:r>
              <w:rPr>
                <w:rFonts w:ascii="Times New Roman" w:eastAsia="宋体" w:hAnsi="Times New Roman" w:cs="Times New Roman" w:hint="eastAsia"/>
                <w:i/>
                <w:iCs/>
                <w:sz w:val="21"/>
                <w:szCs w:val="21"/>
              </w:rPr>
              <w:t>b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)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预紧力施加合理的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巷道帮部支护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图</w:t>
            </w:r>
          </w:p>
        </w:tc>
      </w:tr>
      <w:tr w:rsidR="007E0221" w14:paraId="0B059433" w14:textId="77777777">
        <w:tc>
          <w:tcPr>
            <w:tcW w:w="4407" w:type="dxa"/>
          </w:tcPr>
          <w:p w14:paraId="3D5B90C8" w14:textId="77777777" w:rsidR="007E0221" w:rsidRDefault="00317822">
            <w:pPr>
              <w:spacing w:line="240" w:lineRule="auto"/>
              <w:jc w:val="center"/>
              <w:rPr>
                <w:szCs w:val="22"/>
              </w:rPr>
            </w:pPr>
            <w:r>
              <w:rPr>
                <w:noProof/>
                <w:szCs w:val="22"/>
              </w:rPr>
              <w:drawing>
                <wp:inline distT="0" distB="0" distL="0" distR="0" wp14:anchorId="4E416C09" wp14:editId="3EDA6179">
                  <wp:extent cx="2519680" cy="1889125"/>
                  <wp:effectExtent l="0" t="0" r="0" b="0"/>
                  <wp:docPr id="155081285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0812855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88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2" w:type="dxa"/>
          </w:tcPr>
          <w:p w14:paraId="7CCE2244" w14:textId="77777777" w:rsidR="007E0221" w:rsidRDefault="00317822">
            <w:pPr>
              <w:spacing w:line="240" w:lineRule="auto"/>
              <w:jc w:val="center"/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ADA2E61" wp14:editId="7F322DC1">
                  <wp:extent cx="2519680" cy="1889760"/>
                  <wp:effectExtent l="0" t="0" r="0" b="0"/>
                  <wp:docPr id="639599772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9599772" name="图片 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0221" w14:paraId="46437551" w14:textId="77777777">
        <w:tc>
          <w:tcPr>
            <w:tcW w:w="4407" w:type="dxa"/>
          </w:tcPr>
          <w:p w14:paraId="701327FD" w14:textId="77777777" w:rsidR="007E0221" w:rsidRDefault="00317822">
            <w:pPr>
              <w:spacing w:after="0" w:line="400" w:lineRule="exact"/>
              <w:ind w:firstLineChars="200" w:firstLine="420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(</w:t>
            </w:r>
            <w:r>
              <w:rPr>
                <w:rFonts w:ascii="Times New Roman" w:eastAsia="宋体" w:hAnsi="Times New Roman" w:cs="Times New Roman" w:hint="eastAsia"/>
                <w:i/>
                <w:iCs/>
                <w:sz w:val="21"/>
                <w:szCs w:val="21"/>
              </w:rPr>
              <w:t>c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)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存在锚杆压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陷现象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的支护现场</w:t>
            </w:r>
          </w:p>
        </w:tc>
        <w:tc>
          <w:tcPr>
            <w:tcW w:w="4622" w:type="dxa"/>
          </w:tcPr>
          <w:p w14:paraId="29F20F58" w14:textId="77777777" w:rsidR="007E0221" w:rsidRDefault="00317822">
            <w:pPr>
              <w:spacing w:after="0" w:line="400" w:lineRule="exact"/>
              <w:ind w:firstLineChars="200" w:firstLine="420"/>
              <w:contextualSpacing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(</w:t>
            </w:r>
            <w:r>
              <w:rPr>
                <w:rFonts w:ascii="Times New Roman" w:eastAsia="宋体" w:hAnsi="Times New Roman" w:cs="Times New Roman" w:hint="eastAsia"/>
                <w:i/>
                <w:iCs/>
                <w:sz w:val="21"/>
                <w:szCs w:val="21"/>
              </w:rPr>
              <w:t>d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)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钢带断裂引起的支护效果较差的现场</w:t>
            </w:r>
          </w:p>
        </w:tc>
      </w:tr>
    </w:tbl>
    <w:p w14:paraId="24F86FCE" w14:textId="77777777" w:rsidR="007E0221" w:rsidRDefault="00317822">
      <w:pPr>
        <w:spacing w:after="0" w:line="400" w:lineRule="exact"/>
        <w:ind w:firstLineChars="200" w:firstLine="420"/>
        <w:contextualSpacing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图</w:t>
      </w:r>
      <w:r>
        <w:rPr>
          <w:rFonts w:ascii="Times New Roman" w:eastAsia="宋体" w:hAnsi="Times New Roman" w:cs="Times New Roman" w:hint="eastAsia"/>
          <w:sz w:val="21"/>
          <w:szCs w:val="21"/>
        </w:rPr>
        <w:t xml:space="preserve">2  </w:t>
      </w:r>
      <w:r>
        <w:rPr>
          <w:rFonts w:ascii="Times New Roman" w:eastAsia="宋体" w:hAnsi="Times New Roman" w:cs="Times New Roman" w:hint="eastAsia"/>
          <w:sz w:val="21"/>
          <w:szCs w:val="21"/>
        </w:rPr>
        <w:t>锚杆不同预紧力的巷道支护现场实照</w:t>
      </w:r>
    </w:p>
    <w:p w14:paraId="69E60155" w14:textId="77777777" w:rsidR="007E0221" w:rsidRDefault="00317822">
      <w:pPr>
        <w:spacing w:after="0" w:line="400" w:lineRule="exact"/>
        <w:ind w:firstLineChars="200" w:firstLine="480"/>
        <w:contextualSpacing/>
        <w:jc w:val="both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请利用附件中的实验与实测数据，解决以下问题：</w:t>
      </w:r>
    </w:p>
    <w:p w14:paraId="37CE0F5E" w14:textId="77777777" w:rsidR="007E0221" w:rsidRDefault="00317822">
      <w:pPr>
        <w:spacing w:after="0" w:line="400" w:lineRule="exact"/>
        <w:ind w:firstLineChars="200" w:firstLine="482"/>
        <w:contextualSpacing/>
        <w:jc w:val="both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>
        <w:rPr>
          <w:rFonts w:ascii="Times New Roman" w:eastAsia="宋体" w:hAnsi="Times New Roman" w:cs="Times New Roman" w:hint="eastAsia"/>
          <w:b/>
          <w:bCs/>
          <w:sz w:val="24"/>
        </w:rPr>
        <w:t>1</w:t>
      </w:r>
      <w:r>
        <w:rPr>
          <w:rFonts w:ascii="Times New Roman" w:eastAsia="宋体" w:hAnsi="Times New Roman" w:cs="Times New Roman"/>
          <w:b/>
          <w:bCs/>
          <w:sz w:val="24"/>
        </w:rPr>
        <w:t>.</w:t>
      </w:r>
      <w:r>
        <w:rPr>
          <w:rFonts w:hint="eastAsia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在材质均匀、界面平整的标准实验条件下，锚杆的预紧力矩</w:t>
      </w:r>
      <w:r>
        <w:rPr>
          <w:rFonts w:ascii="Times New Roman" w:eastAsia="宋体" w:hAnsi="Times New Roman" w:cs="Times New Roman" w:hint="eastAsia"/>
          <w:i/>
          <w:iCs/>
          <w:sz w:val="24"/>
        </w:rPr>
        <w:t>T</w:t>
      </w:r>
      <w:r>
        <w:rPr>
          <w:rFonts w:ascii="Times New Roman" w:eastAsia="宋体" w:hAnsi="Times New Roman" w:cs="Times New Roman" w:hint="eastAsia"/>
          <w:sz w:val="24"/>
        </w:rPr>
        <w:t>（单位：</w:t>
      </w:r>
      <w:r>
        <w:rPr>
          <w:rFonts w:ascii="Times New Roman" w:eastAsia="宋体" w:hAnsi="Times New Roman" w:cs="Times New Roman" w:hint="eastAsia"/>
          <w:sz w:val="24"/>
        </w:rPr>
        <w:t>N</w:t>
      </w:r>
      <w:r>
        <w:rPr>
          <w:rFonts w:ascii="Times New Roman" w:eastAsia="宋体" w:hAnsi="Times New Roman" w:cs="Times New Roman" w:hint="eastAsia"/>
          <w:sz w:val="24"/>
        </w:rPr>
        <w:t>·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</w:rPr>
        <w:t>）与预紧力</w:t>
      </w:r>
      <w:r>
        <w:rPr>
          <w:rFonts w:ascii="Times New Roman" w:eastAsia="宋体" w:hAnsi="Times New Roman" w:cs="Times New Roman" w:hint="eastAsia"/>
          <w:i/>
          <w:iCs/>
          <w:sz w:val="24"/>
        </w:rPr>
        <w:t>P</w:t>
      </w:r>
      <w:r>
        <w:rPr>
          <w:rFonts w:ascii="Times New Roman" w:eastAsia="宋体" w:hAnsi="Times New Roman" w:cs="Times New Roman" w:hint="eastAsia"/>
          <w:sz w:val="24"/>
        </w:rPr>
        <w:t>（单位：</w:t>
      </w:r>
      <w:proofErr w:type="spellStart"/>
      <w:r>
        <w:rPr>
          <w:rFonts w:ascii="Times New Roman" w:eastAsia="宋体" w:hAnsi="Times New Roman" w:cs="Times New Roman" w:hint="eastAsia"/>
          <w:sz w:val="24"/>
        </w:rPr>
        <w:t>kN</w:t>
      </w:r>
      <w:proofErr w:type="spellEnd"/>
      <w:r>
        <w:rPr>
          <w:rFonts w:ascii="Times New Roman" w:eastAsia="宋体" w:hAnsi="Times New Roman" w:cs="Times New Roman" w:hint="eastAsia"/>
          <w:sz w:val="24"/>
        </w:rPr>
        <w:t>）之间呈现显著的线性相关关系。工程上常用公式</w:t>
      </w:r>
      <w:r>
        <w:rPr>
          <w:rFonts w:ascii="Times New Roman" w:eastAsia="宋体" w:hAnsi="Times New Roman" w:cs="Times New Roman" w:hint="eastAsia"/>
          <w:i/>
          <w:iCs/>
          <w:sz w:val="24"/>
        </w:rPr>
        <w:t>T</w:t>
      </w:r>
      <w:r>
        <w:rPr>
          <w:rFonts w:ascii="Times New Roman" w:eastAsia="宋体" w:hAnsi="Times New Roman" w:cs="Times New Roman" w:hint="eastAsia"/>
          <w:sz w:val="24"/>
        </w:rPr>
        <w:t>=</w:t>
      </w:r>
      <w:proofErr w:type="spellStart"/>
      <w:r>
        <w:rPr>
          <w:rFonts w:ascii="Times New Roman" w:eastAsia="宋体" w:hAnsi="Times New Roman" w:cs="Times New Roman" w:hint="eastAsia"/>
          <w:i/>
          <w:iCs/>
          <w:sz w:val="24"/>
        </w:rPr>
        <w:t>K</w:t>
      </w:r>
      <w:r>
        <w:rPr>
          <w:rFonts w:ascii="Cambria Math" w:eastAsia="宋体" w:hAnsi="Cambria Math" w:cs="Cambria Math"/>
          <w:sz w:val="24"/>
        </w:rPr>
        <w:t>⋅</w:t>
      </w:r>
      <w:r>
        <w:rPr>
          <w:rFonts w:ascii="Cambria Math" w:eastAsia="宋体" w:hAnsi="Cambria Math" w:cs="Cambria Math" w:hint="eastAsia"/>
          <w:i/>
          <w:iCs/>
          <w:sz w:val="24"/>
        </w:rPr>
        <w:t>P</w:t>
      </w:r>
      <w:r>
        <w:rPr>
          <w:rFonts w:ascii="Cambria Math" w:eastAsia="宋体" w:hAnsi="Cambria Math" w:cs="Cambria Math"/>
          <w:sz w:val="24"/>
        </w:rPr>
        <w:t>⋅</w:t>
      </w:r>
      <w:r>
        <w:rPr>
          <w:rFonts w:ascii="Cambria Math" w:eastAsia="宋体" w:hAnsi="Cambria Math" w:cs="Cambria Math" w:hint="eastAsia"/>
          <w:i/>
          <w:iCs/>
          <w:sz w:val="24"/>
        </w:rPr>
        <w:t>d</w:t>
      </w:r>
      <w:proofErr w:type="spellEnd"/>
      <w:r>
        <w:rPr>
          <w:rFonts w:ascii="Times New Roman" w:eastAsia="宋体" w:hAnsi="Times New Roman" w:cs="Times New Roman" w:hint="eastAsia"/>
          <w:sz w:val="24"/>
        </w:rPr>
        <w:t>来描述，其中</w:t>
      </w:r>
      <w:r>
        <w:rPr>
          <w:rFonts w:ascii="Cambria Math" w:eastAsia="宋体" w:hAnsi="Cambria Math" w:cs="Cambria Math" w:hint="eastAsia"/>
          <w:i/>
          <w:iCs/>
          <w:sz w:val="24"/>
        </w:rPr>
        <w:t>d</w:t>
      </w:r>
      <w:r>
        <w:rPr>
          <w:rFonts w:ascii="Times New Roman" w:eastAsia="宋体" w:hAnsi="Times New Roman" w:cs="Times New Roman" w:hint="eastAsia"/>
          <w:sz w:val="24"/>
        </w:rPr>
        <w:t>为锚杆直径（单位：</w:t>
      </w:r>
      <w:r>
        <w:rPr>
          <w:rFonts w:ascii="Times New Roman" w:eastAsia="宋体" w:hAnsi="Times New Roman" w:cs="Times New Roman" w:hint="eastAsia"/>
          <w:sz w:val="24"/>
        </w:rPr>
        <w:t>mm</w:t>
      </w:r>
      <w:r>
        <w:rPr>
          <w:rFonts w:ascii="Times New Roman" w:eastAsia="宋体" w:hAnsi="Times New Roman" w:cs="Times New Roman" w:hint="eastAsia"/>
          <w:sz w:val="24"/>
        </w:rPr>
        <w:t>），</w:t>
      </w:r>
      <w:r>
        <w:rPr>
          <w:rFonts w:ascii="Times New Roman" w:eastAsia="宋体" w:hAnsi="Times New Roman" w:cs="Times New Roman" w:hint="eastAsia"/>
          <w:i/>
          <w:iCs/>
          <w:sz w:val="24"/>
        </w:rPr>
        <w:t>K</w:t>
      </w:r>
      <w:r>
        <w:rPr>
          <w:rFonts w:ascii="Times New Roman" w:eastAsia="宋体" w:hAnsi="Times New Roman" w:cs="Times New Roman" w:hint="eastAsia"/>
          <w:sz w:val="24"/>
        </w:rPr>
        <w:t>为扭矩系数。然而，工程实测发现，预紧力矩与预紧力的关系在全过程中并非始终保持线性相关：在加载初期，由于螺纹间隙、垫圈变形及接触面压实过程的影响，数据的离散性较大，二者关系呈非线性特征；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当预紧</w:t>
      </w:r>
      <w:proofErr w:type="gramEnd"/>
      <w:r>
        <w:rPr>
          <w:rFonts w:ascii="Times New Roman" w:eastAsia="宋体" w:hAnsi="Times New Roman" w:cs="Times New Roman" w:hint="eastAsia"/>
          <w:sz w:val="24"/>
        </w:rPr>
        <w:t>力矩超过某一临界值后，系统进入稳定工作状态，预紧力矩与预紧力之间才呈现显著的线性相关关系。请完成以下任务：</w:t>
      </w:r>
    </w:p>
    <w:p w14:paraId="77305BCB" w14:textId="77777777" w:rsidR="007E0221" w:rsidRDefault="00317822">
      <w:pPr>
        <w:spacing w:after="0" w:line="400" w:lineRule="exact"/>
        <w:ind w:firstLineChars="200" w:firstLine="482"/>
        <w:contextualSpacing/>
        <w:jc w:val="both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>
        <w:rPr>
          <w:rFonts w:ascii="Times New Roman" w:eastAsia="宋体" w:hAnsi="Times New Roman" w:cs="Times New Roman" w:hint="eastAsia"/>
          <w:b/>
          <w:bCs/>
          <w:sz w:val="24"/>
        </w:rPr>
        <w:t>1.1</w:t>
      </w:r>
      <w:r>
        <w:rPr>
          <w:rFonts w:ascii="Times New Roman" w:eastAsia="宋体" w:hAnsi="Times New Roman" w:cs="Times New Roman"/>
          <w:sz w:val="24"/>
        </w:rPr>
        <w:t xml:space="preserve">. </w:t>
      </w:r>
      <w:r>
        <w:rPr>
          <w:rFonts w:ascii="Times New Roman" w:eastAsia="宋体" w:hAnsi="Times New Roman" w:cs="Times New Roman" w:hint="eastAsia"/>
          <w:sz w:val="24"/>
        </w:rPr>
        <w:t>利用附件中表</w:t>
      </w:r>
      <w:r>
        <w:rPr>
          <w:rFonts w:ascii="Times New Roman" w:eastAsia="宋体" w:hAnsi="Times New Roman" w:cs="Times New Roman" w:hint="eastAsia"/>
          <w:sz w:val="24"/>
        </w:rPr>
        <w:t>1</w:t>
      </w:r>
      <w:r>
        <w:rPr>
          <w:rFonts w:ascii="Times New Roman" w:eastAsia="宋体" w:hAnsi="Times New Roman" w:cs="Times New Roman" w:hint="eastAsia"/>
          <w:sz w:val="24"/>
        </w:rPr>
        <w:t>提供的数据，建立预紧力矩与预紧力关系的数学模型，并给出不同直径的锚杆对应的扭矩系数</w:t>
      </w:r>
      <w:r>
        <w:rPr>
          <w:rFonts w:ascii="Times New Roman" w:eastAsia="宋体" w:hAnsi="Times New Roman" w:cs="Times New Roman" w:hint="eastAsia"/>
          <w:i/>
          <w:iCs/>
          <w:sz w:val="24"/>
        </w:rPr>
        <w:t>K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153E6200" w14:textId="77777777" w:rsidR="007E0221" w:rsidRDefault="00317822">
      <w:pPr>
        <w:spacing w:afterLines="100" w:after="312" w:line="400" w:lineRule="exact"/>
        <w:ind w:firstLineChars="200" w:firstLine="482"/>
        <w:contextualSpacing/>
        <w:jc w:val="both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>
        <w:rPr>
          <w:rFonts w:ascii="Times New Roman" w:eastAsia="宋体" w:hAnsi="Times New Roman" w:cs="Times New Roman" w:hint="eastAsia"/>
          <w:b/>
          <w:bCs/>
          <w:sz w:val="24"/>
        </w:rPr>
        <w:t>1.</w:t>
      </w:r>
      <w:r>
        <w:rPr>
          <w:rFonts w:ascii="Times New Roman" w:eastAsia="宋体" w:hAnsi="Times New Roman" w:cs="Times New Roman"/>
          <w:b/>
          <w:bCs/>
          <w:sz w:val="24"/>
        </w:rPr>
        <w:t>2.</w:t>
      </w:r>
      <w:r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利用附件中表</w:t>
      </w:r>
      <w:r>
        <w:rPr>
          <w:rFonts w:ascii="Times New Roman" w:eastAsia="宋体" w:hAnsi="Times New Roman" w:cs="Times New Roman" w:hint="eastAsia"/>
          <w:sz w:val="24"/>
        </w:rPr>
        <w:t>2</w:t>
      </w:r>
      <w:r>
        <w:rPr>
          <w:rFonts w:ascii="Times New Roman" w:eastAsia="宋体" w:hAnsi="Times New Roman" w:cs="Times New Roman" w:hint="eastAsia"/>
          <w:sz w:val="24"/>
        </w:rPr>
        <w:t>和表</w:t>
      </w:r>
      <w:r>
        <w:rPr>
          <w:rFonts w:ascii="Times New Roman" w:eastAsia="宋体" w:hAnsi="Times New Roman" w:cs="Times New Roman" w:hint="eastAsia"/>
          <w:sz w:val="24"/>
        </w:rPr>
        <w:t>3</w:t>
      </w:r>
      <w:r>
        <w:rPr>
          <w:rFonts w:ascii="Times New Roman" w:eastAsia="宋体" w:hAnsi="Times New Roman" w:cs="Times New Roman" w:hint="eastAsia"/>
          <w:sz w:val="24"/>
        </w:rPr>
        <w:t>提供的基于直径</w:t>
      </w:r>
      <w:r>
        <w:rPr>
          <w:rFonts w:ascii="Times New Roman" w:eastAsia="宋体" w:hAnsi="Times New Roman" w:cs="Times New Roman" w:hint="eastAsia"/>
          <w:sz w:val="24"/>
        </w:rPr>
        <w:t>20mm</w:t>
      </w:r>
      <w:r>
        <w:rPr>
          <w:rFonts w:ascii="Times New Roman" w:eastAsia="宋体" w:hAnsi="Times New Roman" w:cs="Times New Roman" w:hint="eastAsia"/>
          <w:sz w:val="24"/>
        </w:rPr>
        <w:t>锚杆的实测数据，给出临界预紧力矩。</w:t>
      </w:r>
    </w:p>
    <w:p w14:paraId="1542592B" w14:textId="77777777" w:rsidR="007E0221" w:rsidRDefault="007E0221">
      <w:pPr>
        <w:spacing w:after="0" w:line="400" w:lineRule="exact"/>
        <w:ind w:firstLineChars="200" w:firstLine="482"/>
        <w:contextualSpacing/>
        <w:jc w:val="both"/>
        <w:rPr>
          <w:rFonts w:ascii="Times New Roman" w:eastAsia="宋体" w:hAnsi="Times New Roman" w:cs="Times New Roman"/>
          <w:b/>
          <w:bCs/>
          <w:sz w:val="24"/>
        </w:rPr>
      </w:pPr>
    </w:p>
    <w:p w14:paraId="2D637ED2" w14:textId="77777777" w:rsidR="007E0221" w:rsidRDefault="00317822">
      <w:pPr>
        <w:spacing w:after="0" w:line="400" w:lineRule="exact"/>
        <w:ind w:firstLineChars="200" w:firstLine="482"/>
        <w:contextualSpacing/>
        <w:jc w:val="both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>
        <w:rPr>
          <w:rFonts w:ascii="Times New Roman" w:eastAsia="宋体" w:hAnsi="Times New Roman" w:cs="Times New Roman" w:hint="eastAsia"/>
          <w:b/>
          <w:bCs/>
          <w:sz w:val="24"/>
        </w:rPr>
        <w:t>2</w:t>
      </w:r>
      <w:r>
        <w:rPr>
          <w:rFonts w:ascii="Times New Roman" w:eastAsia="宋体" w:hAnsi="Times New Roman" w:cs="Times New Roman"/>
          <w:b/>
          <w:bCs/>
          <w:sz w:val="24"/>
        </w:rPr>
        <w:t>.</w:t>
      </w:r>
      <w:r>
        <w:rPr>
          <w:rFonts w:hint="eastAsia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如图</w:t>
      </w:r>
      <w:r>
        <w:rPr>
          <w:rFonts w:ascii="Times New Roman" w:eastAsia="宋体" w:hAnsi="Times New Roman" w:cs="Times New Roman" w:hint="eastAsia"/>
          <w:sz w:val="24"/>
        </w:rPr>
        <w:t>1</w:t>
      </w:r>
      <w:r>
        <w:rPr>
          <w:rFonts w:ascii="Times New Roman" w:eastAsia="宋体" w:hAnsi="Times New Roman" w:cs="Times New Roman" w:hint="eastAsia"/>
          <w:sz w:val="24"/>
        </w:rPr>
        <w:t>所示，钢带是锚杆支护体系的一种组合构件，其作用是将单根锚杆的集中压力分散到更大面积的围岩表面，有效防止围岩局部压陷。当围岩较松软时，仅靠托盘难以避免压陷，此时须增设钢带以分散压力。在实际采矿工程中，预紧力的施加需要兼顾有效性与安全性——预紧力过小，锚杆无法起到支护作用；预紧力过大，则会导致锚杆屈服、锚固失效或托盘压陷进煤体（如图</w:t>
      </w:r>
      <w:r>
        <w:rPr>
          <w:rFonts w:ascii="Times New Roman" w:eastAsia="宋体" w:hAnsi="Times New Roman" w:cs="Times New Roman" w:hint="eastAsia"/>
          <w:sz w:val="24"/>
        </w:rPr>
        <w:t>2(</w:t>
      </w:r>
      <w:r>
        <w:rPr>
          <w:rFonts w:ascii="Times New Roman" w:eastAsia="宋体" w:hAnsi="Times New Roman" w:cs="Times New Roman" w:hint="eastAsia"/>
          <w:i/>
          <w:iCs/>
          <w:sz w:val="24"/>
        </w:rPr>
        <w:t>c</w:t>
      </w:r>
      <w:r>
        <w:rPr>
          <w:rFonts w:ascii="Times New Roman" w:eastAsia="宋体" w:hAnsi="Times New Roman" w:cs="Times New Roman" w:hint="eastAsia"/>
          <w:sz w:val="24"/>
        </w:rPr>
        <w:t>)</w:t>
      </w:r>
      <w:r>
        <w:rPr>
          <w:rFonts w:ascii="Times New Roman" w:eastAsia="宋体" w:hAnsi="Times New Roman" w:cs="Times New Roman" w:hint="eastAsia"/>
          <w:sz w:val="24"/>
        </w:rPr>
        <w:t>所示）。请解决以下问题</w:t>
      </w:r>
      <w:r>
        <w:rPr>
          <w:rFonts w:ascii="Times New Roman" w:eastAsia="宋体" w:hAnsi="Times New Roman" w:cs="Times New Roman" w:hint="eastAsia"/>
          <w:b/>
          <w:bCs/>
          <w:sz w:val="24"/>
        </w:rPr>
        <w:t>：</w:t>
      </w:r>
    </w:p>
    <w:p w14:paraId="5D04FA9B" w14:textId="77777777" w:rsidR="007E0221" w:rsidRDefault="00317822">
      <w:pPr>
        <w:pStyle w:val="a5"/>
        <w:spacing w:after="0"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>
        <w:rPr>
          <w:rFonts w:ascii="Times New Roman" w:eastAsia="宋体" w:hAnsi="Times New Roman" w:cs="Times New Roman" w:hint="eastAsia"/>
          <w:b/>
          <w:bCs/>
          <w:sz w:val="24"/>
        </w:rPr>
        <w:t>2.1.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基于附录</w:t>
      </w:r>
      <w:r>
        <w:rPr>
          <w:rFonts w:ascii="Times New Roman" w:eastAsia="宋体" w:hAnsi="Times New Roman" w:cs="Times New Roman" w:hint="eastAsia"/>
          <w:sz w:val="24"/>
        </w:rPr>
        <w:t>2</w:t>
      </w:r>
      <w:r>
        <w:rPr>
          <w:rFonts w:ascii="Times New Roman" w:eastAsia="宋体" w:hAnsi="Times New Roman" w:cs="Times New Roman" w:hint="eastAsia"/>
          <w:sz w:val="24"/>
        </w:rPr>
        <w:t>所述物理模型和工程约束，建立在给定地质和支护参数下的最大允许预紧力矩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i/>
          <w:iCs/>
          <w:sz w:val="24"/>
        </w:rPr>
        <w:t>T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max</w:t>
      </w:r>
      <w:proofErr w:type="spellEnd"/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的通用参数化模型，并进一步给出钢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带使用</w:t>
      </w:r>
      <w:proofErr w:type="gramEnd"/>
      <w:r>
        <w:rPr>
          <w:rFonts w:ascii="Times New Roman" w:eastAsia="宋体" w:hAnsi="Times New Roman" w:cs="Times New Roman" w:hint="eastAsia"/>
          <w:sz w:val="24"/>
        </w:rPr>
        <w:t>的必要性。</w:t>
      </w:r>
    </w:p>
    <w:p w14:paraId="230EEE9E" w14:textId="77777777" w:rsidR="007E0221" w:rsidRDefault="00317822">
      <w:pPr>
        <w:pStyle w:val="a5"/>
        <w:spacing w:after="0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>
        <w:rPr>
          <w:rFonts w:ascii="Times New Roman" w:eastAsia="宋体" w:hAnsi="Times New Roman" w:cs="Times New Roman" w:hint="eastAsia"/>
          <w:b/>
          <w:bCs/>
          <w:sz w:val="24"/>
        </w:rPr>
        <w:t>2.2</w:t>
      </w:r>
      <w:r>
        <w:rPr>
          <w:rFonts w:ascii="Times New Roman" w:eastAsia="宋体" w:hAnsi="Times New Roman" w:cs="Times New Roman" w:hint="eastAsia"/>
          <w:sz w:val="24"/>
        </w:rPr>
        <w:t xml:space="preserve">. </w:t>
      </w:r>
      <w:r>
        <w:rPr>
          <w:rFonts w:ascii="Times New Roman" w:eastAsia="宋体" w:hAnsi="Times New Roman" w:cs="Times New Roman" w:hint="eastAsia"/>
          <w:sz w:val="24"/>
        </w:rPr>
        <w:t>利用附件中表</w:t>
      </w:r>
      <w:r>
        <w:rPr>
          <w:rFonts w:ascii="Times New Roman" w:eastAsia="宋体" w:hAnsi="Times New Roman" w:cs="Times New Roman" w:hint="eastAsia"/>
          <w:sz w:val="24"/>
        </w:rPr>
        <w:t>4</w:t>
      </w:r>
      <w:r>
        <w:rPr>
          <w:rFonts w:ascii="Times New Roman" w:eastAsia="宋体" w:hAnsi="Times New Roman" w:cs="Times New Roman" w:hint="eastAsia"/>
          <w:sz w:val="24"/>
        </w:rPr>
        <w:t>提供的参数，结合问题</w:t>
      </w:r>
      <w:r>
        <w:rPr>
          <w:rFonts w:ascii="Times New Roman" w:eastAsia="宋体" w:hAnsi="Times New Roman" w:cs="Times New Roman" w:hint="eastAsia"/>
          <w:sz w:val="24"/>
        </w:rPr>
        <w:t>2.1</w:t>
      </w:r>
      <w:r>
        <w:rPr>
          <w:rFonts w:ascii="Times New Roman" w:eastAsia="宋体" w:hAnsi="Times New Roman" w:cs="Times New Roman" w:hint="eastAsia"/>
          <w:sz w:val="24"/>
        </w:rPr>
        <w:t>构建的数学模型，计算工况</w:t>
      </w:r>
      <w:r>
        <w:rPr>
          <w:rFonts w:ascii="Times New Roman" w:eastAsia="宋体" w:hAnsi="Times New Roman" w:cs="Times New Roman" w:hint="eastAsia"/>
          <w:sz w:val="24"/>
        </w:rPr>
        <w:t>A</w:t>
      </w:r>
      <w:r>
        <w:rPr>
          <w:rFonts w:ascii="Times New Roman" w:eastAsia="宋体" w:hAnsi="Times New Roman" w:cs="Times New Roman" w:hint="eastAsia"/>
          <w:sz w:val="24"/>
        </w:rPr>
        <w:t>和工况</w:t>
      </w:r>
      <w:r>
        <w:rPr>
          <w:rFonts w:ascii="Times New Roman" w:eastAsia="宋体" w:hAnsi="Times New Roman" w:cs="Times New Roman" w:hint="eastAsia"/>
          <w:sz w:val="24"/>
        </w:rPr>
        <w:t>B</w:t>
      </w:r>
      <w:r>
        <w:rPr>
          <w:rFonts w:ascii="Times New Roman" w:eastAsia="宋体" w:hAnsi="Times New Roman" w:cs="Times New Roman" w:hint="eastAsia"/>
          <w:sz w:val="24"/>
        </w:rPr>
        <w:t>下的</w:t>
      </w:r>
      <w:proofErr w:type="spellStart"/>
      <w:r>
        <w:rPr>
          <w:rFonts w:ascii="Times New Roman" w:eastAsia="宋体" w:hAnsi="Times New Roman" w:cs="Times New Roman" w:hint="eastAsia"/>
          <w:i/>
          <w:iCs/>
          <w:sz w:val="24"/>
        </w:rPr>
        <w:t>T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max</w:t>
      </w:r>
      <w:proofErr w:type="spellEnd"/>
      <w:r>
        <w:rPr>
          <w:rFonts w:ascii="Times New Roman" w:eastAsia="宋体" w:hAnsi="Times New Roman" w:cs="Times New Roman" w:hint="eastAsia"/>
          <w:sz w:val="24"/>
        </w:rPr>
        <w:t>，并判断是否必须加钢带。</w:t>
      </w:r>
    </w:p>
    <w:p w14:paraId="0EE4E2DE" w14:textId="77777777" w:rsidR="007E0221" w:rsidRDefault="007E0221">
      <w:pPr>
        <w:rPr>
          <w:rFonts w:ascii="Times New Roman" w:eastAsia="宋体" w:hAnsi="Times New Roman" w:cs="Times New Roman"/>
          <w:sz w:val="24"/>
        </w:rPr>
      </w:pPr>
    </w:p>
    <w:p w14:paraId="7DE00C5A" w14:textId="77777777" w:rsidR="007E0221" w:rsidRDefault="00317822">
      <w:pPr>
        <w:spacing w:after="40" w:line="279" w:lineRule="auto"/>
        <w:ind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>
        <w:rPr>
          <w:rFonts w:ascii="Times New Roman" w:eastAsia="宋体" w:hAnsi="Times New Roman" w:cs="Times New Roman" w:hint="eastAsia"/>
          <w:b/>
          <w:bCs/>
          <w:sz w:val="24"/>
        </w:rPr>
        <w:t>3</w:t>
      </w:r>
      <w:r>
        <w:rPr>
          <w:rFonts w:ascii="Times New Roman" w:eastAsia="宋体" w:hAnsi="Times New Roman" w:cs="Times New Roman"/>
          <w:b/>
          <w:bCs/>
          <w:sz w:val="24"/>
        </w:rPr>
        <w:t>.</w:t>
      </w:r>
      <w:r>
        <w:rPr>
          <w:rFonts w:hint="eastAsia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在煤矿现场施工中，由于煤岩体碎裂、孔壁不规则等客观因素，锚杆轴线与围岩表面法线之间存在难以避免的偏心距</w:t>
      </w:r>
      <w:r>
        <w:rPr>
          <w:rFonts w:ascii="Times New Roman" w:eastAsia="宋体" w:hAnsi="Times New Roman" w:cs="Times New Roman" w:hint="eastAsia"/>
          <w:i/>
          <w:iCs/>
          <w:sz w:val="24"/>
        </w:rPr>
        <w:t>e</w:t>
      </w:r>
      <w:r>
        <w:rPr>
          <w:rFonts w:ascii="Times New Roman" w:eastAsia="宋体" w:hAnsi="Times New Roman" w:cs="Times New Roman" w:hint="eastAsia"/>
          <w:sz w:val="24"/>
        </w:rPr>
        <w:t>（单位：</w:t>
      </w:r>
      <w:r>
        <w:rPr>
          <w:rFonts w:ascii="Times New Roman" w:eastAsia="宋体" w:hAnsi="Times New Roman" w:cs="Times New Roman" w:hint="eastAsia"/>
          <w:sz w:val="24"/>
        </w:rPr>
        <w:t>mm</w:t>
      </w:r>
      <w:r>
        <w:rPr>
          <w:rFonts w:ascii="Times New Roman" w:eastAsia="宋体" w:hAnsi="Times New Roman" w:cs="Times New Roman" w:hint="eastAsia"/>
          <w:sz w:val="24"/>
        </w:rPr>
        <w:t>）。当拧紧螺母施加预紧力矩</w:t>
      </w:r>
      <w:r>
        <w:rPr>
          <w:rFonts w:ascii="Times New Roman" w:eastAsia="宋体" w:hAnsi="Times New Roman" w:cs="Times New Roman" w:hint="eastAsia"/>
          <w:i/>
          <w:iCs/>
          <w:sz w:val="24"/>
        </w:rPr>
        <w:t>T</w:t>
      </w:r>
      <w:r>
        <w:rPr>
          <w:rFonts w:ascii="Times New Roman" w:eastAsia="宋体" w:hAnsi="Times New Roman" w:cs="Times New Roman" w:hint="eastAsia"/>
          <w:sz w:val="24"/>
        </w:rPr>
        <w:t>时，预紧力</w:t>
      </w:r>
      <w:r>
        <w:rPr>
          <w:rFonts w:ascii="Times New Roman" w:eastAsia="宋体" w:hAnsi="Times New Roman" w:cs="Times New Roman" w:hint="eastAsia"/>
          <w:i/>
          <w:iCs/>
          <w:sz w:val="24"/>
        </w:rPr>
        <w:t>P</w:t>
      </w:r>
      <w:r>
        <w:rPr>
          <w:rFonts w:ascii="Times New Roman" w:eastAsia="宋体" w:hAnsi="Times New Roman" w:cs="Times New Roman" w:hint="eastAsia"/>
          <w:sz w:val="24"/>
        </w:rPr>
        <w:t>通过偏心距</w:t>
      </w:r>
      <w:r>
        <w:rPr>
          <w:rFonts w:ascii="Times New Roman" w:eastAsia="宋体" w:hAnsi="Times New Roman" w:cs="Times New Roman" w:hint="eastAsia"/>
          <w:i/>
          <w:iCs/>
          <w:sz w:val="24"/>
        </w:rPr>
        <w:t>e</w:t>
      </w:r>
      <w:r>
        <w:rPr>
          <w:rFonts w:ascii="Times New Roman" w:eastAsia="宋体" w:hAnsi="Times New Roman" w:cs="Times New Roman" w:hint="eastAsia"/>
          <w:sz w:val="24"/>
        </w:rPr>
        <w:t>在锚杆螺纹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段引起</w:t>
      </w:r>
      <w:proofErr w:type="gramEnd"/>
      <w:r>
        <w:rPr>
          <w:rFonts w:ascii="Times New Roman" w:eastAsia="宋体" w:hAnsi="Times New Roman" w:cs="Times New Roman" w:hint="eastAsia"/>
          <w:sz w:val="24"/>
        </w:rPr>
        <w:t>附加弯矩</w:t>
      </w:r>
      <w:r>
        <w:rPr>
          <w:rFonts w:ascii="Times New Roman" w:eastAsia="宋体" w:hAnsi="Times New Roman" w:cs="Times New Roman" w:hint="eastAsia"/>
          <w:i/>
          <w:iCs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</w:rPr>
        <w:t>。此时，锚杆螺纹段同时承受多种应力的联合作用，可能导致锚杆在螺纹根部发生齐根断裂，相关力学公式与参数详见附录</w:t>
      </w:r>
      <w:r>
        <w:rPr>
          <w:rFonts w:ascii="Times New Roman" w:eastAsia="宋体" w:hAnsi="Times New Roman" w:cs="Times New Roman" w:hint="eastAsia"/>
          <w:sz w:val="24"/>
        </w:rPr>
        <w:t>3</w:t>
      </w:r>
      <w:r>
        <w:rPr>
          <w:rFonts w:ascii="Times New Roman" w:eastAsia="宋体" w:hAnsi="Times New Roman" w:cs="Times New Roman" w:hint="eastAsia"/>
          <w:sz w:val="24"/>
        </w:rPr>
        <w:t>。请完成以下任务：</w:t>
      </w:r>
    </w:p>
    <w:p w14:paraId="1746D142" w14:textId="77777777" w:rsidR="007E0221" w:rsidRDefault="00317822">
      <w:pPr>
        <w:spacing w:after="40" w:line="279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lastRenderedPageBreak/>
        <w:t>问题</w:t>
      </w:r>
      <w:r>
        <w:rPr>
          <w:rFonts w:ascii="Times New Roman" w:eastAsia="宋体" w:hAnsi="Times New Roman" w:cs="Times New Roman" w:hint="eastAsia"/>
          <w:b/>
          <w:bCs/>
          <w:sz w:val="24"/>
        </w:rPr>
        <w:t>3.1</w:t>
      </w:r>
      <w:r>
        <w:rPr>
          <w:rFonts w:ascii="Times New Roman" w:eastAsia="宋体" w:hAnsi="Times New Roman" w:cs="Times New Roman" w:hint="eastAsia"/>
          <w:sz w:val="24"/>
        </w:rPr>
        <w:t xml:space="preserve">. </w:t>
      </w:r>
      <w:r>
        <w:rPr>
          <w:rFonts w:ascii="Times New Roman" w:eastAsia="宋体" w:hAnsi="Times New Roman" w:cs="Times New Roman" w:hint="eastAsia"/>
          <w:sz w:val="24"/>
        </w:rPr>
        <w:t>基于附录</w:t>
      </w:r>
      <w:r>
        <w:rPr>
          <w:rFonts w:ascii="Times New Roman" w:eastAsia="宋体" w:hAnsi="Times New Roman" w:cs="Times New Roman" w:hint="eastAsia"/>
          <w:sz w:val="24"/>
        </w:rPr>
        <w:t>3</w:t>
      </w:r>
      <w:r>
        <w:rPr>
          <w:rFonts w:ascii="Times New Roman" w:eastAsia="宋体" w:hAnsi="Times New Roman" w:cs="Times New Roman" w:hint="eastAsia"/>
          <w:sz w:val="24"/>
        </w:rPr>
        <w:t>的力学模型，建立偏心受力状态下最大允许预紧力矩</w:t>
      </w:r>
      <w:proofErr w:type="spellStart"/>
      <w:r>
        <w:rPr>
          <w:rFonts w:ascii="Times New Roman" w:eastAsia="宋体" w:hAnsi="Times New Roman" w:cs="Times New Roman" w:hint="eastAsia"/>
          <w:i/>
          <w:iCs/>
          <w:sz w:val="24"/>
        </w:rPr>
        <w:t>T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max</w:t>
      </w:r>
      <w:proofErr w:type="spellEnd"/>
      <w:r>
        <w:rPr>
          <w:rFonts w:ascii="Times New Roman" w:eastAsia="宋体" w:hAnsi="Times New Roman" w:cs="Times New Roman" w:hint="eastAsia"/>
          <w:sz w:val="24"/>
        </w:rPr>
        <w:t>与偏心距</w:t>
      </w:r>
      <w:r>
        <w:rPr>
          <w:rFonts w:ascii="Times New Roman" w:eastAsia="宋体" w:hAnsi="Times New Roman" w:cs="Times New Roman" w:hint="eastAsia"/>
          <w:i/>
          <w:iCs/>
          <w:sz w:val="24"/>
        </w:rPr>
        <w:t>e</w:t>
      </w:r>
      <w:r>
        <w:rPr>
          <w:rFonts w:ascii="Times New Roman" w:eastAsia="宋体" w:hAnsi="Times New Roman" w:cs="Times New Roman" w:hint="eastAsia"/>
          <w:sz w:val="24"/>
        </w:rPr>
        <w:t>关系的数学模型。由于该力学公式基于名义截面的简化假设，请结合力学基本原理，分析附录</w:t>
      </w:r>
      <w:r>
        <w:rPr>
          <w:rFonts w:ascii="Times New Roman" w:eastAsia="宋体" w:hAnsi="Times New Roman" w:cs="Times New Roman" w:hint="eastAsia"/>
          <w:sz w:val="24"/>
        </w:rPr>
        <w:t>3</w:t>
      </w:r>
      <w:r>
        <w:rPr>
          <w:rFonts w:ascii="Times New Roman" w:eastAsia="宋体" w:hAnsi="Times New Roman" w:cs="Times New Roman" w:hint="eastAsia"/>
          <w:sz w:val="24"/>
        </w:rPr>
        <w:t>模型的适用性与局限性。</w:t>
      </w:r>
    </w:p>
    <w:p w14:paraId="12D68E7F" w14:textId="77777777" w:rsidR="007E0221" w:rsidRDefault="00317822">
      <w:pPr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>
        <w:rPr>
          <w:rFonts w:ascii="Times New Roman" w:eastAsia="宋体" w:hAnsi="Times New Roman" w:cs="Times New Roman" w:hint="eastAsia"/>
          <w:b/>
          <w:bCs/>
          <w:sz w:val="24"/>
        </w:rPr>
        <w:t>3.2.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结合偏心受力条件与附录</w:t>
      </w:r>
      <w:r>
        <w:rPr>
          <w:rFonts w:ascii="Times New Roman" w:eastAsia="宋体" w:hAnsi="Times New Roman" w:cs="Times New Roman" w:hint="eastAsia"/>
          <w:sz w:val="24"/>
        </w:rPr>
        <w:t>2</w:t>
      </w:r>
      <w:r>
        <w:rPr>
          <w:rFonts w:ascii="Times New Roman" w:eastAsia="宋体" w:hAnsi="Times New Roman" w:cs="Times New Roman" w:hint="eastAsia"/>
          <w:sz w:val="24"/>
        </w:rPr>
        <w:t>中给出的工程约束，分析偏心距</w:t>
      </w:r>
      <w:r>
        <w:rPr>
          <w:rFonts w:ascii="Times New Roman" w:eastAsia="宋体" w:hAnsi="Times New Roman" w:cs="Times New Roman" w:hint="eastAsia"/>
          <w:i/>
          <w:iCs/>
          <w:sz w:val="24"/>
        </w:rPr>
        <w:t>e</w:t>
      </w:r>
      <w:r>
        <w:rPr>
          <w:rFonts w:ascii="Times New Roman" w:eastAsia="宋体" w:hAnsi="Times New Roman" w:cs="Times New Roman" w:hint="eastAsia"/>
          <w:sz w:val="24"/>
        </w:rPr>
        <w:t>的存在是否会影响这些约束的有效性？建立综合考虑多种失效模式的修正模型，给出修正后的最大允许预紧力矩</w:t>
      </w:r>
      <w:proofErr w:type="spellStart"/>
      <w:r>
        <w:rPr>
          <w:rFonts w:ascii="Times New Roman" w:eastAsia="宋体" w:hAnsi="Times New Roman" w:cs="Times New Roman" w:hint="eastAsia"/>
          <w:i/>
          <w:iCs/>
          <w:sz w:val="24"/>
        </w:rPr>
        <w:t>T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max</w:t>
      </w:r>
      <w:proofErr w:type="spellEnd"/>
      <w:r>
        <w:rPr>
          <w:rFonts w:ascii="Times New Roman" w:eastAsia="宋体" w:hAnsi="Times New Roman" w:cs="Times New Roman" w:hint="eastAsia"/>
          <w:sz w:val="24"/>
        </w:rPr>
        <w:t>(</w:t>
      </w:r>
      <w:r>
        <w:rPr>
          <w:rFonts w:ascii="Times New Roman" w:eastAsia="宋体" w:hAnsi="Times New Roman" w:cs="Times New Roman" w:hint="eastAsia"/>
          <w:i/>
          <w:iCs/>
          <w:sz w:val="24"/>
        </w:rPr>
        <w:t>e</w:t>
      </w:r>
      <w:r>
        <w:rPr>
          <w:rFonts w:ascii="Times New Roman" w:eastAsia="宋体" w:hAnsi="Times New Roman" w:cs="Times New Roman" w:hint="eastAsia"/>
          <w:sz w:val="24"/>
        </w:rPr>
        <w:t>)</w:t>
      </w:r>
      <w:r>
        <w:rPr>
          <w:rFonts w:ascii="Times New Roman" w:eastAsia="宋体" w:hAnsi="Times New Roman" w:cs="Times New Roman" w:hint="eastAsia"/>
          <w:sz w:val="24"/>
        </w:rPr>
        <w:t>的数学表达式，并进行数值验证。</w:t>
      </w:r>
    </w:p>
    <w:p w14:paraId="4C25567B" w14:textId="77777777" w:rsidR="007E0221" w:rsidRDefault="00317822">
      <w:pPr>
        <w:pStyle w:val="a5"/>
        <w:spacing w:after="0"/>
        <w:ind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>
        <w:rPr>
          <w:rFonts w:ascii="Times New Roman" w:eastAsia="宋体" w:hAnsi="Times New Roman" w:cs="Times New Roman" w:hint="eastAsia"/>
          <w:b/>
          <w:bCs/>
          <w:sz w:val="24"/>
        </w:rPr>
        <w:t xml:space="preserve"> 4</w:t>
      </w:r>
      <w:r>
        <w:rPr>
          <w:rFonts w:ascii="Times New Roman" w:eastAsia="宋体" w:hAnsi="Times New Roman" w:cs="Times New Roman"/>
          <w:b/>
          <w:bCs/>
          <w:sz w:val="24"/>
        </w:rPr>
        <w:t>.</w:t>
      </w:r>
      <w:r>
        <w:rPr>
          <w:rFonts w:hint="eastAsia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在实际工程中，不同煤矿的围岩性质差异显著。坚硬围岩（如灰岩，普氏系数</w:t>
      </w:r>
      <w:r>
        <w:rPr>
          <w:rFonts w:ascii="Times New Roman" w:eastAsia="宋体" w:hAnsi="Times New Roman" w:cs="Times New Roman" w:hint="eastAsia"/>
          <w:i/>
          <w:iCs/>
          <w:sz w:val="24"/>
        </w:rPr>
        <w:t>f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≥</w:t>
      </w:r>
      <w:r>
        <w:rPr>
          <w:rFonts w:ascii="Times New Roman" w:eastAsia="宋体" w:hAnsi="Times New Roman" w:cs="Times New Roman" w:hint="eastAsia"/>
          <w:sz w:val="24"/>
        </w:rPr>
        <w:t>6</w:t>
      </w:r>
      <w:r>
        <w:rPr>
          <w:rFonts w:ascii="Times New Roman" w:eastAsia="宋体" w:hAnsi="Times New Roman" w:cs="Times New Roman" w:hint="eastAsia"/>
          <w:sz w:val="24"/>
        </w:rPr>
        <w:t>）的弹性模量和强度高，能够承受较大的支护力而不发生压陷或破坏；松软围岩（如煤体，普氏系数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i/>
          <w:iCs/>
          <w:sz w:val="24"/>
        </w:rPr>
        <w:t>f</w:t>
      </w:r>
      <w:r>
        <w:rPr>
          <w:rFonts w:ascii="Times New Roman" w:eastAsia="宋体" w:hAnsi="Times New Roman" w:cs="Times New Roman" w:hint="eastAsia"/>
          <w:sz w:val="24"/>
        </w:rPr>
        <w:t xml:space="preserve"> &lt; 3</w:t>
      </w:r>
      <w:r>
        <w:rPr>
          <w:rFonts w:ascii="Times New Roman" w:eastAsia="宋体" w:hAnsi="Times New Roman" w:cs="Times New Roman" w:hint="eastAsia"/>
          <w:sz w:val="24"/>
        </w:rPr>
        <w:t>）的弹性模量低，过大的支护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力容易</w:t>
      </w:r>
      <w:proofErr w:type="gramEnd"/>
      <w:r>
        <w:rPr>
          <w:rFonts w:ascii="Times New Roman" w:eastAsia="宋体" w:hAnsi="Times New Roman" w:cs="Times New Roman" w:hint="eastAsia"/>
          <w:sz w:val="24"/>
        </w:rPr>
        <w:t>导致锚杆压入围岩，反而造成支护失效；中等强度围岩（如砂岩，</w:t>
      </w:r>
      <w:r>
        <w:rPr>
          <w:rFonts w:ascii="Times New Roman" w:eastAsia="宋体" w:hAnsi="Times New Roman" w:cs="Times New Roman" w:hint="eastAsia"/>
          <w:sz w:val="24"/>
        </w:rPr>
        <w:t xml:space="preserve">3 </w:t>
      </w:r>
      <w:r>
        <w:rPr>
          <w:rFonts w:ascii="Times New Roman" w:eastAsia="宋体" w:hAnsi="Times New Roman" w:cs="Times New Roman" w:hint="eastAsia"/>
          <w:sz w:val="24"/>
        </w:rPr>
        <w:t>≤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i/>
          <w:iCs/>
          <w:sz w:val="24"/>
        </w:rPr>
        <w:t>f</w:t>
      </w:r>
      <w:r>
        <w:rPr>
          <w:rFonts w:ascii="Times New Roman" w:eastAsia="宋体" w:hAnsi="Times New Roman" w:cs="Times New Roman" w:hint="eastAsia"/>
          <w:sz w:val="24"/>
        </w:rPr>
        <w:t xml:space="preserve"> &lt; 6</w:t>
      </w:r>
      <w:r>
        <w:rPr>
          <w:rFonts w:ascii="Times New Roman" w:eastAsia="宋体" w:hAnsi="Times New Roman" w:cs="Times New Roman" w:hint="eastAsia"/>
          <w:sz w:val="24"/>
        </w:rPr>
        <w:t>）则介于两者之间。因此，不同围岩等级对预紧力的需求和承载能力截然不同。目前现场锚杆支护施工往往采用统一的预紧力矩标准，既无法充分发挥坚硬围岩的承载潜力，又在松软围岩中面临支护失效风险。</w:t>
      </w:r>
    </w:p>
    <w:p w14:paraId="4F739D4D" w14:textId="77777777" w:rsidR="007E0221" w:rsidRDefault="00317822">
      <w:pPr>
        <w:pStyle w:val="FirstParagraph"/>
        <w:spacing w:before="0" w:after="0"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请基于普氏系数</w:t>
      </w:r>
      <w:r>
        <w:rPr>
          <w:rFonts w:ascii="Times New Roman" w:eastAsia="宋体" w:hAnsi="Times New Roman" w:cs="Times New Roman" w:hint="eastAsia"/>
          <w:i/>
          <w:iCs/>
          <w:sz w:val="24"/>
        </w:rPr>
        <w:t>f</w:t>
      </w:r>
      <w:r>
        <w:rPr>
          <w:rFonts w:ascii="Times New Roman" w:eastAsia="宋体" w:hAnsi="Times New Roman" w:cs="Times New Roman" w:hint="eastAsia"/>
          <w:sz w:val="24"/>
        </w:rPr>
        <w:t>与各失效约束，建立使支护效果较优而不触发任何失效约束的预紧力矩</w:t>
      </w:r>
      <w:proofErr w:type="spellStart"/>
      <w:r>
        <w:rPr>
          <w:rFonts w:ascii="Times New Roman" w:eastAsia="宋体" w:hAnsi="Times New Roman" w:cs="Times New Roman" w:hint="eastAsia"/>
          <w:i/>
          <w:iCs/>
          <w:sz w:val="24"/>
        </w:rPr>
        <w:t>T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opt</w:t>
      </w:r>
      <w:proofErr w:type="spellEnd"/>
      <w:r>
        <w:rPr>
          <w:rFonts w:ascii="Times New Roman" w:eastAsia="宋体" w:hAnsi="Times New Roman" w:cs="Times New Roman" w:hint="eastAsia"/>
          <w:sz w:val="24"/>
        </w:rPr>
        <w:t>和</w:t>
      </w:r>
      <w:r>
        <w:rPr>
          <w:rFonts w:ascii="Times New Roman" w:eastAsia="宋体" w:hAnsi="Times New Roman" w:cs="Times New Roman" w:hint="eastAsia"/>
          <w:i/>
          <w:iCs/>
          <w:sz w:val="24"/>
        </w:rPr>
        <w:t>f</w:t>
      </w:r>
      <w:r>
        <w:rPr>
          <w:rFonts w:ascii="Times New Roman" w:eastAsia="宋体" w:hAnsi="Times New Roman" w:cs="Times New Roman" w:hint="eastAsia"/>
          <w:sz w:val="24"/>
        </w:rPr>
        <w:t>关系的数学模型；分析在不同</w:t>
      </w:r>
      <w:r>
        <w:rPr>
          <w:rFonts w:ascii="Times New Roman" w:eastAsia="宋体" w:hAnsi="Times New Roman" w:cs="Times New Roman" w:hint="eastAsia"/>
          <w:i/>
          <w:iCs/>
          <w:sz w:val="24"/>
        </w:rPr>
        <w:t>f</w:t>
      </w:r>
      <w:r>
        <w:rPr>
          <w:rFonts w:ascii="Times New Roman" w:eastAsia="宋体" w:hAnsi="Times New Roman" w:cs="Times New Roman" w:hint="eastAsia"/>
          <w:sz w:val="24"/>
        </w:rPr>
        <w:t>值区间内（如软岩、中等、坚硬围岩），导致锚杆支护系统失效的“主控失效模式”，即在各种围岩条件下使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最大许</w:t>
      </w:r>
      <w:proofErr w:type="gramEnd"/>
      <w:r>
        <w:rPr>
          <w:rFonts w:ascii="Times New Roman" w:eastAsia="宋体" w:hAnsi="Times New Roman" w:cs="Times New Roman" w:hint="eastAsia"/>
          <w:sz w:val="24"/>
        </w:rPr>
        <w:t>用预紧力矩最先达到极限的约束是什么，并对模型的有效性和可靠性进行验证。</w:t>
      </w:r>
    </w:p>
    <w:p w14:paraId="21666D0A" w14:textId="77777777" w:rsidR="007E0221" w:rsidRDefault="00317822">
      <w:pPr>
        <w:widowControl/>
        <w:spacing w:after="0" w:line="24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/>
          <w:sz w:val="24"/>
        </w:rPr>
        <w:br w:type="page"/>
      </w:r>
    </w:p>
    <w:p w14:paraId="7171D8D8" w14:textId="77777777" w:rsidR="007E0221" w:rsidRDefault="00317822">
      <w:pPr>
        <w:spacing w:after="0" w:line="480" w:lineRule="auto"/>
        <w:jc w:val="both"/>
        <w:rPr>
          <w:rFonts w:ascii="Times New Roman" w:eastAsia="宋体" w:hAnsi="Times New Roman" w:cs="Times New Roman"/>
          <w:b/>
          <w:bCs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lastRenderedPageBreak/>
        <w:t>附录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1</w:t>
      </w:r>
      <w:r>
        <w:rPr>
          <w:rFonts w:ascii="Times New Roman" w:eastAsia="宋体" w:hAnsi="Times New Roman" w:cs="Times New Roman"/>
          <w:b/>
          <w:bCs/>
          <w:sz w:val="24"/>
          <w14:ligatures w14:val="none"/>
        </w:rPr>
        <w:t>：专业术语与符号说明</w:t>
      </w:r>
    </w:p>
    <w:tbl>
      <w:tblPr>
        <w:tblStyle w:val="af3"/>
        <w:tblW w:w="0" w:type="auto"/>
        <w:jc w:val="right"/>
        <w:tblLook w:val="04A0" w:firstRow="1" w:lastRow="0" w:firstColumn="1" w:lastColumn="0" w:noHBand="0" w:noVBand="1"/>
      </w:tblPr>
      <w:tblGrid>
        <w:gridCol w:w="1238"/>
        <w:gridCol w:w="1843"/>
        <w:gridCol w:w="7193"/>
      </w:tblGrid>
      <w:tr w:rsidR="007E0221" w14:paraId="1FAA3A70" w14:textId="77777777">
        <w:trPr>
          <w:jc w:val="right"/>
        </w:trPr>
        <w:tc>
          <w:tcPr>
            <w:tcW w:w="1238" w:type="dxa"/>
            <w:shd w:val="clear" w:color="auto" w:fill="D9E2F3"/>
            <w:vAlign w:val="center"/>
          </w:tcPr>
          <w:p w14:paraId="3798C9DC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  <w14:ligatures w14:val="none"/>
              </w:rPr>
              <w:t>术语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  <w14:ligatures w14:val="none"/>
              </w:rPr>
              <w:t>/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  <w14:ligatures w14:val="none"/>
              </w:rPr>
              <w:t>符号</w:t>
            </w:r>
          </w:p>
        </w:tc>
        <w:tc>
          <w:tcPr>
            <w:tcW w:w="1843" w:type="dxa"/>
            <w:shd w:val="clear" w:color="auto" w:fill="D9E2F3"/>
            <w:vAlign w:val="center"/>
          </w:tcPr>
          <w:p w14:paraId="7B84CC45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  <w14:ligatures w14:val="none"/>
              </w:rPr>
              <w:t>名称</w:t>
            </w:r>
          </w:p>
        </w:tc>
        <w:tc>
          <w:tcPr>
            <w:tcW w:w="7193" w:type="dxa"/>
            <w:shd w:val="clear" w:color="auto" w:fill="D9E2F3"/>
            <w:vAlign w:val="center"/>
          </w:tcPr>
          <w:p w14:paraId="309D5A9E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  <w14:ligatures w14:val="none"/>
              </w:rPr>
              <w:t>说明</w:t>
            </w:r>
          </w:p>
        </w:tc>
      </w:tr>
      <w:tr w:rsidR="007E0221" w14:paraId="5F820A67" w14:textId="77777777">
        <w:trPr>
          <w:jc w:val="right"/>
        </w:trPr>
        <w:tc>
          <w:tcPr>
            <w:tcW w:w="1238" w:type="dxa"/>
            <w:vAlign w:val="center"/>
          </w:tcPr>
          <w:p w14:paraId="6090A8C3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钢带</w:t>
            </w:r>
          </w:p>
        </w:tc>
        <w:tc>
          <w:tcPr>
            <w:tcW w:w="1843" w:type="dxa"/>
            <w:vAlign w:val="center"/>
          </w:tcPr>
          <w:p w14:paraId="28A72505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—</w:t>
            </w:r>
          </w:p>
        </w:tc>
        <w:tc>
          <w:tcPr>
            <w:tcW w:w="7193" w:type="dxa"/>
            <w:vAlign w:val="center"/>
          </w:tcPr>
          <w:p w14:paraId="2F44050A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沿巷道方向铺设的带状金属构件，用于分散托盘压力，防止围岩局部压陷</w:t>
            </w:r>
          </w:p>
        </w:tc>
      </w:tr>
      <w:tr w:rsidR="007E0221" w14:paraId="4767988D" w14:textId="77777777">
        <w:trPr>
          <w:jc w:val="right"/>
        </w:trPr>
        <w:tc>
          <w:tcPr>
            <w:tcW w:w="1238" w:type="dxa"/>
            <w:vAlign w:val="center"/>
          </w:tcPr>
          <w:p w14:paraId="1AD5ECFC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托盘</w:t>
            </w:r>
          </w:p>
        </w:tc>
        <w:tc>
          <w:tcPr>
            <w:tcW w:w="1843" w:type="dxa"/>
            <w:vAlign w:val="center"/>
          </w:tcPr>
          <w:p w14:paraId="1BF131AD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—</w:t>
            </w:r>
          </w:p>
        </w:tc>
        <w:tc>
          <w:tcPr>
            <w:tcW w:w="7193" w:type="dxa"/>
            <w:vAlign w:val="center"/>
          </w:tcPr>
          <w:p w14:paraId="0F0B812F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安装在螺母与围岩之间的承载板，将预紧力传递给围岩表面</w:t>
            </w:r>
          </w:p>
        </w:tc>
      </w:tr>
      <w:tr w:rsidR="007E0221" w14:paraId="02814100" w14:textId="77777777">
        <w:trPr>
          <w:jc w:val="right"/>
        </w:trPr>
        <w:tc>
          <w:tcPr>
            <w:tcW w:w="1238" w:type="dxa"/>
            <w:vAlign w:val="center"/>
          </w:tcPr>
          <w:p w14:paraId="6C544711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调心垫圈</w:t>
            </w:r>
          </w:p>
        </w:tc>
        <w:tc>
          <w:tcPr>
            <w:tcW w:w="1843" w:type="dxa"/>
            <w:vAlign w:val="center"/>
          </w:tcPr>
          <w:p w14:paraId="78373BF4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—</w:t>
            </w:r>
          </w:p>
        </w:tc>
        <w:tc>
          <w:tcPr>
            <w:tcW w:w="7193" w:type="dxa"/>
            <w:vAlign w:val="center"/>
          </w:tcPr>
          <w:p w14:paraId="7A03E551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具有球面或弧面结构的垫圈，可自动补偿锚杆安装角度偏差</w:t>
            </w:r>
          </w:p>
        </w:tc>
      </w:tr>
      <w:tr w:rsidR="007E0221" w14:paraId="6FB98AF6" w14:textId="77777777">
        <w:trPr>
          <w:jc w:val="right"/>
        </w:trPr>
        <w:tc>
          <w:tcPr>
            <w:tcW w:w="1238" w:type="dxa"/>
            <w:vAlign w:val="center"/>
          </w:tcPr>
          <w:p w14:paraId="33A7581F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i/>
                <w:sz w:val="18"/>
                <w:szCs w:val="18"/>
                <w14:ligatures w14:val="none"/>
              </w:rPr>
              <w:t>T</w:t>
            </w:r>
          </w:p>
        </w:tc>
        <w:tc>
          <w:tcPr>
            <w:tcW w:w="1843" w:type="dxa"/>
            <w:vAlign w:val="center"/>
          </w:tcPr>
          <w:p w14:paraId="35EC5CCE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预紧力矩</w:t>
            </w:r>
          </w:p>
        </w:tc>
        <w:tc>
          <w:tcPr>
            <w:tcW w:w="7193" w:type="dxa"/>
            <w:vAlign w:val="center"/>
          </w:tcPr>
          <w:p w14:paraId="47B11683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施工时施加在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>图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>所示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螺母上的拧紧扭矩，单位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N·m</w:t>
            </w:r>
            <w:proofErr w:type="spellEnd"/>
          </w:p>
        </w:tc>
      </w:tr>
      <w:tr w:rsidR="007E0221" w14:paraId="3A608FD9" w14:textId="77777777">
        <w:trPr>
          <w:jc w:val="right"/>
        </w:trPr>
        <w:tc>
          <w:tcPr>
            <w:tcW w:w="1238" w:type="dxa"/>
            <w:vAlign w:val="center"/>
          </w:tcPr>
          <w:p w14:paraId="3C14E45F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  <w14:ligatures w14:val="none"/>
              </w:rPr>
              <w:t>P</w:t>
            </w:r>
          </w:p>
        </w:tc>
        <w:tc>
          <w:tcPr>
            <w:tcW w:w="1843" w:type="dxa"/>
            <w:vAlign w:val="center"/>
          </w:tcPr>
          <w:p w14:paraId="0889E4A9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预紧力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>/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>托锚力</w:t>
            </w:r>
            <w:proofErr w:type="gramEnd"/>
          </w:p>
        </w:tc>
        <w:tc>
          <w:tcPr>
            <w:tcW w:w="7193" w:type="dxa"/>
            <w:vAlign w:val="center"/>
          </w:tcPr>
          <w:p w14:paraId="2D15DA33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预紧力矩经螺纹传动后沿锚杆轴向产生的拉力，单位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kN</w:t>
            </w:r>
            <w:proofErr w:type="spellEnd"/>
          </w:p>
        </w:tc>
      </w:tr>
      <w:tr w:rsidR="007E0221" w14:paraId="7E4CFF4B" w14:textId="77777777">
        <w:trPr>
          <w:jc w:val="right"/>
        </w:trPr>
        <w:tc>
          <w:tcPr>
            <w:tcW w:w="1238" w:type="dxa"/>
            <w:vAlign w:val="center"/>
          </w:tcPr>
          <w:p w14:paraId="257B4FF3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K</w:t>
            </w:r>
          </w:p>
        </w:tc>
        <w:tc>
          <w:tcPr>
            <w:tcW w:w="1843" w:type="dxa"/>
            <w:vAlign w:val="center"/>
          </w:tcPr>
          <w:p w14:paraId="06B6E822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扭矩系数</w:t>
            </w:r>
          </w:p>
        </w:tc>
        <w:tc>
          <w:tcPr>
            <w:tcW w:w="7193" w:type="dxa"/>
            <w:vAlign w:val="center"/>
          </w:tcPr>
          <w:p w14:paraId="31F42570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预紧力矩与预紧力转换关系的比例系数</w:t>
            </w:r>
          </w:p>
        </w:tc>
      </w:tr>
      <w:tr w:rsidR="007E0221" w14:paraId="1EDC4B28" w14:textId="77777777">
        <w:trPr>
          <w:jc w:val="right"/>
        </w:trPr>
        <w:tc>
          <w:tcPr>
            <w:tcW w:w="1238" w:type="dxa"/>
            <w:vAlign w:val="center"/>
          </w:tcPr>
          <w:p w14:paraId="6AEAD6A1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  <w14:ligatures w14:val="none"/>
              </w:rPr>
              <w:t>d</w:t>
            </w:r>
          </w:p>
        </w:tc>
        <w:tc>
          <w:tcPr>
            <w:tcW w:w="1843" w:type="dxa"/>
            <w:vAlign w:val="center"/>
          </w:tcPr>
          <w:p w14:paraId="4E38DE64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公称直径</w:t>
            </w:r>
          </w:p>
        </w:tc>
        <w:tc>
          <w:tcPr>
            <w:tcW w:w="7193" w:type="dxa"/>
            <w:vAlign w:val="center"/>
          </w:tcPr>
          <w:p w14:paraId="76B87E90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锚杆杆体的名义外径，单位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mm</w:t>
            </w:r>
          </w:p>
        </w:tc>
      </w:tr>
      <w:tr w:rsidR="007E0221" w14:paraId="24F17A3A" w14:textId="77777777">
        <w:trPr>
          <w:jc w:val="right"/>
        </w:trPr>
        <w:tc>
          <w:tcPr>
            <w:tcW w:w="1238" w:type="dxa"/>
            <w:vAlign w:val="center"/>
          </w:tcPr>
          <w:p w14:paraId="043C064A" w14:textId="77777777" w:rsidR="007E0221" w:rsidRDefault="00DC221C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hole</m:t>
                    </m:r>
                  </m:sub>
                </m:sSub>
              </m:oMath>
            </m:oMathPara>
          </w:p>
        </w:tc>
        <w:tc>
          <w:tcPr>
            <w:tcW w:w="1843" w:type="dxa"/>
            <w:vAlign w:val="center"/>
          </w:tcPr>
          <w:p w14:paraId="0DCA06AC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钻孔直径</w:t>
            </w:r>
          </w:p>
        </w:tc>
        <w:tc>
          <w:tcPr>
            <w:tcW w:w="7193" w:type="dxa"/>
            <w:vAlign w:val="center"/>
          </w:tcPr>
          <w:p w14:paraId="1A6EBA65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锚杆安装孔的直径，单位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mm</w:t>
            </w:r>
          </w:p>
        </w:tc>
      </w:tr>
      <w:tr w:rsidR="007E0221" w14:paraId="4A9E66CE" w14:textId="77777777">
        <w:trPr>
          <w:jc w:val="right"/>
        </w:trPr>
        <w:tc>
          <w:tcPr>
            <w:tcW w:w="1238" w:type="dxa"/>
            <w:vAlign w:val="center"/>
          </w:tcPr>
          <w:p w14:paraId="5EEACC20" w14:textId="77777777" w:rsidR="007E0221" w:rsidRDefault="00DC221C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1843" w:type="dxa"/>
            <w:vAlign w:val="center"/>
          </w:tcPr>
          <w:p w14:paraId="70A5C548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螺纹有效直径</w:t>
            </w:r>
          </w:p>
        </w:tc>
        <w:tc>
          <w:tcPr>
            <w:tcW w:w="7193" w:type="dxa"/>
            <w:vAlign w:val="center"/>
          </w:tcPr>
          <w:p w14:paraId="228E5D4F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螺纹受力截面的等效直径，</w:t>
            </w:r>
            <w:proofErr w:type="gramStart"/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近似取</w:t>
            </w:r>
            <w:proofErr w:type="gramEnd"/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sub>
              </m:sSub>
            </m:oMath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≈ 0.85d</w:t>
            </w:r>
          </w:p>
        </w:tc>
      </w:tr>
      <w:tr w:rsidR="007E0221" w14:paraId="3BC9BC1D" w14:textId="77777777">
        <w:trPr>
          <w:jc w:val="right"/>
        </w:trPr>
        <w:tc>
          <w:tcPr>
            <w:tcW w:w="1238" w:type="dxa"/>
            <w:vAlign w:val="center"/>
          </w:tcPr>
          <w:p w14:paraId="39DAD523" w14:textId="77777777" w:rsidR="007E0221" w:rsidRDefault="00DC221C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1843" w:type="dxa"/>
            <w:vAlign w:val="center"/>
          </w:tcPr>
          <w:p w14:paraId="1B2F7390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有效锚固长度</w:t>
            </w:r>
          </w:p>
        </w:tc>
        <w:tc>
          <w:tcPr>
            <w:tcW w:w="7193" w:type="dxa"/>
            <w:vAlign w:val="center"/>
          </w:tcPr>
          <w:p w14:paraId="0671189C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锚固剂与围岩实际粘结段的长度，单位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mm</w:t>
            </w:r>
          </w:p>
        </w:tc>
      </w:tr>
      <w:tr w:rsidR="007E0221" w14:paraId="3E833AC2" w14:textId="77777777">
        <w:trPr>
          <w:jc w:val="right"/>
        </w:trPr>
        <w:tc>
          <w:tcPr>
            <w:tcW w:w="1238" w:type="dxa"/>
            <w:vAlign w:val="center"/>
          </w:tcPr>
          <w:p w14:paraId="45427B27" w14:textId="77777777" w:rsidR="007E0221" w:rsidRDefault="00DC221C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1843" w:type="dxa"/>
            <w:vAlign w:val="center"/>
          </w:tcPr>
          <w:p w14:paraId="227B601C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屈服强度</w:t>
            </w:r>
          </w:p>
        </w:tc>
        <w:tc>
          <w:tcPr>
            <w:tcW w:w="7193" w:type="dxa"/>
            <w:vAlign w:val="center"/>
          </w:tcPr>
          <w:p w14:paraId="7222DCF3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锚杆杆体材料开始发生塑性变形的应力，单位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MPa</w:t>
            </w:r>
          </w:p>
        </w:tc>
      </w:tr>
      <w:tr w:rsidR="007E0221" w14:paraId="050E6FDE" w14:textId="77777777">
        <w:trPr>
          <w:jc w:val="right"/>
        </w:trPr>
        <w:tc>
          <w:tcPr>
            <w:tcW w:w="1238" w:type="dxa"/>
            <w:vAlign w:val="center"/>
          </w:tcPr>
          <w:p w14:paraId="4B71EE48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[</w:t>
            </w:r>
            <w:r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  <w:t>σ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]</w:t>
            </w:r>
          </w:p>
        </w:tc>
        <w:tc>
          <w:tcPr>
            <w:tcW w:w="1843" w:type="dxa"/>
            <w:vAlign w:val="center"/>
          </w:tcPr>
          <w:p w14:paraId="6CCF16C5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许用应力</w:t>
            </w:r>
          </w:p>
        </w:tc>
        <w:tc>
          <w:tcPr>
            <w:tcW w:w="7193" w:type="dxa"/>
            <w:vAlign w:val="center"/>
          </w:tcPr>
          <w:p w14:paraId="5FA982DE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材料允许承受的最大应力，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[σ] =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sub>
              </m:sSub>
            </m:oMath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/ </w:t>
            </w:r>
            <w:r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  <w:t>n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，其中</w:t>
            </w:r>
            <w:r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  <w:t>n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为安全系数</w:t>
            </w:r>
          </w:p>
        </w:tc>
      </w:tr>
      <w:tr w:rsidR="007E0221" w14:paraId="20CB52E1" w14:textId="77777777">
        <w:trPr>
          <w:jc w:val="right"/>
        </w:trPr>
        <w:tc>
          <w:tcPr>
            <w:tcW w:w="1238" w:type="dxa"/>
            <w:vAlign w:val="center"/>
          </w:tcPr>
          <w:p w14:paraId="15E65CBC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  <w:t>n</w:t>
            </w:r>
          </w:p>
        </w:tc>
        <w:tc>
          <w:tcPr>
            <w:tcW w:w="1843" w:type="dxa"/>
            <w:vAlign w:val="center"/>
          </w:tcPr>
          <w:p w14:paraId="41805DE8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安全系数</w:t>
            </w:r>
          </w:p>
        </w:tc>
        <w:tc>
          <w:tcPr>
            <w:tcW w:w="7193" w:type="dxa"/>
            <w:vAlign w:val="center"/>
          </w:tcPr>
          <w:p w14:paraId="749F5D4D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为保证结构安全而引入</w:t>
            </w:r>
            <w:proofErr w:type="gramStart"/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的折减系数</w:t>
            </w:r>
            <w:proofErr w:type="gramEnd"/>
          </w:p>
        </w:tc>
      </w:tr>
      <w:tr w:rsidR="007E0221" w14:paraId="51B3442A" w14:textId="77777777">
        <w:trPr>
          <w:jc w:val="right"/>
        </w:trPr>
        <w:tc>
          <w:tcPr>
            <w:tcW w:w="1238" w:type="dxa"/>
            <w:vAlign w:val="center"/>
          </w:tcPr>
          <w:p w14:paraId="3337379D" w14:textId="77777777" w:rsidR="007E0221" w:rsidRDefault="00DC221C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1843" w:type="dxa"/>
            <w:vAlign w:val="center"/>
          </w:tcPr>
          <w:p w14:paraId="685D4C83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螺纹有效扭矩系数</w:t>
            </w:r>
          </w:p>
        </w:tc>
        <w:tc>
          <w:tcPr>
            <w:tcW w:w="7193" w:type="dxa"/>
            <w:vAlign w:val="center"/>
          </w:tcPr>
          <w:p w14:paraId="5E4D2C8F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施加扭矩中由螺纹</w:t>
            </w:r>
            <w:proofErr w:type="gramStart"/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段有效</w:t>
            </w:r>
            <w:proofErr w:type="gramEnd"/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承受的比例</w:t>
            </w:r>
          </w:p>
        </w:tc>
      </w:tr>
      <w:tr w:rsidR="007E0221" w14:paraId="63592175" w14:textId="77777777">
        <w:trPr>
          <w:jc w:val="right"/>
        </w:trPr>
        <w:tc>
          <w:tcPr>
            <w:tcW w:w="1238" w:type="dxa"/>
            <w:vAlign w:val="center"/>
          </w:tcPr>
          <w:p w14:paraId="654ACD68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  <w:t>τ</w:t>
            </w:r>
          </w:p>
        </w:tc>
        <w:tc>
          <w:tcPr>
            <w:tcW w:w="1843" w:type="dxa"/>
            <w:vAlign w:val="center"/>
          </w:tcPr>
          <w:p w14:paraId="01B6F9EF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剪切强度</w:t>
            </w:r>
          </w:p>
        </w:tc>
        <w:tc>
          <w:tcPr>
            <w:tcW w:w="7193" w:type="dxa"/>
            <w:vAlign w:val="center"/>
          </w:tcPr>
          <w:p w14:paraId="639EEF8F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锚固剂与围岩界面抵抗剪切破坏的能力，单位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MPa</w:t>
            </w:r>
          </w:p>
        </w:tc>
      </w:tr>
      <w:tr w:rsidR="007E0221" w14:paraId="068C6194" w14:textId="77777777">
        <w:trPr>
          <w:jc w:val="right"/>
        </w:trPr>
        <w:tc>
          <w:tcPr>
            <w:tcW w:w="1238" w:type="dxa"/>
            <w:vAlign w:val="center"/>
          </w:tcPr>
          <w:p w14:paraId="6D65748C" w14:textId="77777777" w:rsidR="007E0221" w:rsidRDefault="00DC221C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bond</m:t>
                    </m:r>
                  </m:sub>
                </m:sSub>
              </m:oMath>
            </m:oMathPara>
          </w:p>
        </w:tc>
        <w:tc>
          <w:tcPr>
            <w:tcW w:w="1843" w:type="dxa"/>
            <w:vAlign w:val="center"/>
          </w:tcPr>
          <w:p w14:paraId="6835000A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极限粘结力</w:t>
            </w:r>
          </w:p>
        </w:tc>
        <w:tc>
          <w:tcPr>
            <w:tcW w:w="7193" w:type="dxa"/>
            <w:vAlign w:val="center"/>
          </w:tcPr>
          <w:p w14:paraId="544F7019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锚固系统在界面剪切破坏前能承受的最大轴向力</w:t>
            </w:r>
          </w:p>
        </w:tc>
      </w:tr>
      <w:tr w:rsidR="007E0221" w14:paraId="226793C5" w14:textId="77777777">
        <w:trPr>
          <w:jc w:val="right"/>
        </w:trPr>
        <w:tc>
          <w:tcPr>
            <w:tcW w:w="1238" w:type="dxa"/>
            <w:vAlign w:val="center"/>
          </w:tcPr>
          <w:p w14:paraId="52880CDB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1843" w:type="dxa"/>
            <w:vAlign w:val="center"/>
          </w:tcPr>
          <w:p w14:paraId="48622033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围岩弹性模量</w:t>
            </w:r>
          </w:p>
        </w:tc>
        <w:tc>
          <w:tcPr>
            <w:tcW w:w="7193" w:type="dxa"/>
            <w:vAlign w:val="center"/>
          </w:tcPr>
          <w:p w14:paraId="777A1AEB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围岩抵抗弹性变形的能力，单位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GPa</w:t>
            </w:r>
            <w:proofErr w:type="spellEnd"/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或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MPa</w:t>
            </w:r>
          </w:p>
        </w:tc>
      </w:tr>
      <w:tr w:rsidR="007E0221" w14:paraId="2740D426" w14:textId="77777777">
        <w:trPr>
          <w:jc w:val="right"/>
        </w:trPr>
        <w:tc>
          <w:tcPr>
            <w:tcW w:w="1238" w:type="dxa"/>
            <w:vAlign w:val="center"/>
          </w:tcPr>
          <w:p w14:paraId="7A9CC3B4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  <w:t>ν</w:t>
            </w:r>
          </w:p>
        </w:tc>
        <w:tc>
          <w:tcPr>
            <w:tcW w:w="1843" w:type="dxa"/>
            <w:vAlign w:val="center"/>
          </w:tcPr>
          <w:p w14:paraId="6B0CDA1B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泊松比</w:t>
            </w:r>
          </w:p>
        </w:tc>
        <w:tc>
          <w:tcPr>
            <w:tcW w:w="7193" w:type="dxa"/>
            <w:vAlign w:val="center"/>
          </w:tcPr>
          <w:p w14:paraId="6718389D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材料横向应变与轴向应变之比，无量纲</w:t>
            </w:r>
          </w:p>
        </w:tc>
      </w:tr>
      <w:tr w:rsidR="007E0221" w14:paraId="2F4277C2" w14:textId="77777777">
        <w:trPr>
          <w:jc w:val="right"/>
        </w:trPr>
        <w:tc>
          <w:tcPr>
            <w:tcW w:w="1238" w:type="dxa"/>
            <w:vAlign w:val="center"/>
          </w:tcPr>
          <w:p w14:paraId="7D178BF8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i/>
                <w:sz w:val="18"/>
                <w:szCs w:val="18"/>
                <w14:ligatures w14:val="none"/>
              </w:rPr>
              <w:t>h</w:t>
            </w:r>
            <w:r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  <w:t>₀</w:t>
            </w:r>
          </w:p>
        </w:tc>
        <w:tc>
          <w:tcPr>
            <w:tcW w:w="1843" w:type="dxa"/>
            <w:vAlign w:val="center"/>
          </w:tcPr>
          <w:p w14:paraId="0B61A4F4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围岩载荷影响深度</w:t>
            </w:r>
          </w:p>
        </w:tc>
        <w:tc>
          <w:tcPr>
            <w:tcW w:w="7193" w:type="dxa"/>
            <w:vAlign w:val="center"/>
          </w:tcPr>
          <w:p w14:paraId="3C01E1DC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托盘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>对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围岩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>施加外力的影响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深度，单位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mm</w:t>
            </w:r>
          </w:p>
        </w:tc>
      </w:tr>
      <w:tr w:rsidR="007E0221" w14:paraId="0C190A9E" w14:textId="77777777">
        <w:trPr>
          <w:jc w:val="right"/>
        </w:trPr>
        <w:tc>
          <w:tcPr>
            <w:tcW w:w="1238" w:type="dxa"/>
            <w:vAlign w:val="center"/>
          </w:tcPr>
          <w:p w14:paraId="23F92837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δ</m:t>
                </m:r>
              </m:oMath>
            </m:oMathPara>
          </w:p>
        </w:tc>
        <w:tc>
          <w:tcPr>
            <w:tcW w:w="1843" w:type="dxa"/>
            <w:vAlign w:val="center"/>
          </w:tcPr>
          <w:p w14:paraId="28889E8C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>围岩压入深度</w:t>
            </w:r>
          </w:p>
        </w:tc>
        <w:tc>
          <w:tcPr>
            <w:tcW w:w="7193" w:type="dxa"/>
            <w:vAlign w:val="center"/>
          </w:tcPr>
          <w:p w14:paraId="1C372F29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托盘压入围岩表面的深度，单位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mm</w:t>
            </w:r>
          </w:p>
        </w:tc>
      </w:tr>
      <w:tr w:rsidR="007E0221" w14:paraId="56BE8120" w14:textId="77777777">
        <w:trPr>
          <w:jc w:val="right"/>
        </w:trPr>
        <w:tc>
          <w:tcPr>
            <w:tcW w:w="1238" w:type="dxa"/>
            <w:vAlign w:val="center"/>
          </w:tcPr>
          <w:p w14:paraId="37B91741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  <w:t>b</w:t>
            </w:r>
          </w:p>
        </w:tc>
        <w:tc>
          <w:tcPr>
            <w:tcW w:w="1843" w:type="dxa"/>
            <w:vAlign w:val="center"/>
          </w:tcPr>
          <w:p w14:paraId="52BDF9DF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托盘边长</w:t>
            </w:r>
          </w:p>
        </w:tc>
        <w:tc>
          <w:tcPr>
            <w:tcW w:w="7193" w:type="dxa"/>
            <w:vAlign w:val="center"/>
          </w:tcPr>
          <w:p w14:paraId="5D27B102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托盘承载面的等效边长，单位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mm</w:t>
            </w:r>
          </w:p>
        </w:tc>
      </w:tr>
      <w:tr w:rsidR="007E0221" w14:paraId="14A844DE" w14:textId="77777777">
        <w:trPr>
          <w:jc w:val="right"/>
        </w:trPr>
        <w:tc>
          <w:tcPr>
            <w:tcW w:w="1238" w:type="dxa"/>
            <w:vAlign w:val="center"/>
          </w:tcPr>
          <w:p w14:paraId="656C9BF0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1843" w:type="dxa"/>
            <w:vAlign w:val="center"/>
          </w:tcPr>
          <w:p w14:paraId="12A734EF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偏心距</w:t>
            </w:r>
          </w:p>
        </w:tc>
        <w:tc>
          <w:tcPr>
            <w:tcW w:w="7193" w:type="dxa"/>
            <w:vAlign w:val="center"/>
          </w:tcPr>
          <w:p w14:paraId="33A67A22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锚杆轴线与围岩表面法线之间的距离，单位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mm</w:t>
            </w:r>
          </w:p>
        </w:tc>
      </w:tr>
      <w:tr w:rsidR="007E0221" w14:paraId="236B441A" w14:textId="77777777">
        <w:trPr>
          <w:jc w:val="right"/>
        </w:trPr>
        <w:tc>
          <w:tcPr>
            <w:tcW w:w="1238" w:type="dxa"/>
            <w:vAlign w:val="center"/>
          </w:tcPr>
          <w:p w14:paraId="1666BC50" w14:textId="77777777" w:rsidR="007E0221" w:rsidRDefault="00DC221C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843" w:type="dxa"/>
            <w:vAlign w:val="center"/>
          </w:tcPr>
          <w:p w14:paraId="7E52FD5C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轴向拉应力</w:t>
            </w:r>
          </w:p>
        </w:tc>
        <w:tc>
          <w:tcPr>
            <w:tcW w:w="7193" w:type="dxa"/>
            <w:vAlign w:val="center"/>
          </w:tcPr>
          <w:p w14:paraId="50CEAA62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由轴向预紧力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  <w14:ligatures w14:val="none"/>
              </w:rPr>
              <w:t>P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引起的正应力</w:t>
            </w:r>
          </w:p>
        </w:tc>
      </w:tr>
      <w:tr w:rsidR="007E0221" w14:paraId="6B54EACA" w14:textId="77777777">
        <w:trPr>
          <w:jc w:val="right"/>
        </w:trPr>
        <w:tc>
          <w:tcPr>
            <w:tcW w:w="1238" w:type="dxa"/>
            <w:vAlign w:val="center"/>
          </w:tcPr>
          <w:p w14:paraId="65204C65" w14:textId="77777777" w:rsidR="007E0221" w:rsidRDefault="00DC221C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1843" w:type="dxa"/>
            <w:vAlign w:val="center"/>
          </w:tcPr>
          <w:p w14:paraId="231FAC50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弯曲应力</w:t>
            </w:r>
          </w:p>
        </w:tc>
        <w:tc>
          <w:tcPr>
            <w:tcW w:w="7193" w:type="dxa"/>
            <w:vAlign w:val="center"/>
          </w:tcPr>
          <w:p w14:paraId="112248F0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由偏心距引起的附加弯矩产生的正应力</w:t>
            </w:r>
          </w:p>
        </w:tc>
      </w:tr>
      <w:tr w:rsidR="007E0221" w14:paraId="51E59674" w14:textId="77777777">
        <w:trPr>
          <w:jc w:val="right"/>
        </w:trPr>
        <w:tc>
          <w:tcPr>
            <w:tcW w:w="1238" w:type="dxa"/>
            <w:vAlign w:val="center"/>
          </w:tcPr>
          <w:p w14:paraId="33C02BCA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  <w14:ligatures w14:val="none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τ</m:t>
                </m:r>
              </m:oMath>
            </m:oMathPara>
          </w:p>
        </w:tc>
        <w:tc>
          <w:tcPr>
            <w:tcW w:w="1843" w:type="dxa"/>
            <w:vAlign w:val="center"/>
          </w:tcPr>
          <w:p w14:paraId="6E5CA724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扭转剪应力</w:t>
            </w:r>
          </w:p>
        </w:tc>
        <w:tc>
          <w:tcPr>
            <w:tcW w:w="7193" w:type="dxa"/>
            <w:vAlign w:val="center"/>
          </w:tcPr>
          <w:p w14:paraId="73850A35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由施工拧紧扭矩在螺纹段产生的剪应力</w:t>
            </w:r>
          </w:p>
        </w:tc>
      </w:tr>
      <w:tr w:rsidR="007E0221" w14:paraId="68DD83BA" w14:textId="77777777">
        <w:trPr>
          <w:jc w:val="right"/>
        </w:trPr>
        <w:tc>
          <w:tcPr>
            <w:tcW w:w="1238" w:type="dxa"/>
            <w:vAlign w:val="center"/>
          </w:tcPr>
          <w:p w14:paraId="6FC9BC13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Von Mises</w:t>
            </w:r>
          </w:p>
          <w:p w14:paraId="2941203C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等效应力</w:t>
            </w:r>
          </w:p>
        </w:tc>
        <w:tc>
          <w:tcPr>
            <w:tcW w:w="1843" w:type="dxa"/>
            <w:vAlign w:val="center"/>
          </w:tcPr>
          <w:p w14:paraId="427E7709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—</w:t>
            </w:r>
          </w:p>
        </w:tc>
        <w:tc>
          <w:tcPr>
            <w:tcW w:w="7193" w:type="dxa"/>
            <w:vAlign w:val="center"/>
          </w:tcPr>
          <w:p w14:paraId="08A97AED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综合正应力与剪应力的等效屈服准则，用于判断材料是否进入塑性状态</w:t>
            </w:r>
          </w:p>
        </w:tc>
      </w:tr>
      <w:tr w:rsidR="007E0221" w14:paraId="1E6A25EE" w14:textId="77777777">
        <w:trPr>
          <w:jc w:val="right"/>
        </w:trPr>
        <w:tc>
          <w:tcPr>
            <w:tcW w:w="1238" w:type="dxa"/>
            <w:vAlign w:val="center"/>
          </w:tcPr>
          <w:p w14:paraId="1513682A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  <w14:ligatures w14:val="none"/>
              </w:rPr>
              <w:t>f</w:t>
            </w:r>
          </w:p>
        </w:tc>
        <w:tc>
          <w:tcPr>
            <w:tcW w:w="1843" w:type="dxa"/>
            <w:vAlign w:val="center"/>
          </w:tcPr>
          <w:p w14:paraId="248FD4D2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普氏系数</w:t>
            </w:r>
          </w:p>
        </w:tc>
        <w:tc>
          <w:tcPr>
            <w:tcW w:w="7193" w:type="dxa"/>
            <w:vAlign w:val="center"/>
          </w:tcPr>
          <w:p w14:paraId="3CE453A8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表征岩石坚固程度的经验指标，数值越大岩石越坚硬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>，单轴抗压强度（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>MPa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>）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>/10</w:t>
            </w:r>
          </w:p>
        </w:tc>
      </w:tr>
      <w:tr w:rsidR="007E0221" w14:paraId="023F4DA6" w14:textId="77777777">
        <w:trPr>
          <w:jc w:val="right"/>
        </w:trPr>
        <w:tc>
          <w:tcPr>
            <w:tcW w:w="1238" w:type="dxa"/>
            <w:vAlign w:val="center"/>
          </w:tcPr>
          <w:p w14:paraId="693DE364" w14:textId="77777777" w:rsidR="007E0221" w:rsidRDefault="00DC221C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1843" w:type="dxa"/>
            <w:vAlign w:val="center"/>
          </w:tcPr>
          <w:p w14:paraId="06495B8F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抗弯截面系数</w:t>
            </w:r>
          </w:p>
        </w:tc>
        <w:tc>
          <w:tcPr>
            <w:tcW w:w="7193" w:type="dxa"/>
            <w:vAlign w:val="center"/>
          </w:tcPr>
          <w:p w14:paraId="474A2376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截面抵抗弯曲变形的几何参数，对圆截面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32</m:t>
                  </m:r>
                </m:den>
              </m:f>
            </m:oMath>
          </w:p>
        </w:tc>
      </w:tr>
      <w:tr w:rsidR="007E0221" w14:paraId="0608177A" w14:textId="77777777">
        <w:trPr>
          <w:jc w:val="right"/>
        </w:trPr>
        <w:tc>
          <w:tcPr>
            <w:tcW w:w="1238" w:type="dxa"/>
            <w:vAlign w:val="center"/>
          </w:tcPr>
          <w:p w14:paraId="51927C5F" w14:textId="77777777" w:rsidR="007E0221" w:rsidRDefault="00DC221C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843" w:type="dxa"/>
            <w:vAlign w:val="center"/>
          </w:tcPr>
          <w:p w14:paraId="7BBA22A6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proofErr w:type="gramStart"/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抗扭截面</w:t>
            </w:r>
            <w:proofErr w:type="gramEnd"/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系数</w:t>
            </w:r>
          </w:p>
        </w:tc>
        <w:tc>
          <w:tcPr>
            <w:tcW w:w="7193" w:type="dxa"/>
            <w:vAlign w:val="center"/>
          </w:tcPr>
          <w:p w14:paraId="2ED03EDB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截面抵抗扭转变形的几何参数，对圆截面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14:ligatures w14:val="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16</m:t>
                  </m:r>
                </m:den>
              </m:f>
            </m:oMath>
          </w:p>
        </w:tc>
      </w:tr>
      <w:tr w:rsidR="007E0221" w14:paraId="5344773E" w14:textId="77777777">
        <w:trPr>
          <w:jc w:val="right"/>
        </w:trPr>
        <w:tc>
          <w:tcPr>
            <w:tcW w:w="1238" w:type="dxa"/>
            <w:vAlign w:val="center"/>
          </w:tcPr>
          <w:p w14:paraId="7F795478" w14:textId="77777777" w:rsidR="007E0221" w:rsidRDefault="00DC221C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1843" w:type="dxa"/>
            <w:vAlign w:val="center"/>
          </w:tcPr>
          <w:p w14:paraId="6CAA85CA" w14:textId="77777777" w:rsidR="007E0221" w:rsidRDefault="003178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螺纹有效截面积</w:t>
            </w:r>
          </w:p>
        </w:tc>
        <w:tc>
          <w:tcPr>
            <w:tcW w:w="7193" w:type="dxa"/>
            <w:vAlign w:val="center"/>
          </w:tcPr>
          <w:p w14:paraId="64DB7C82" w14:textId="77777777" w:rsidR="007E0221" w:rsidRDefault="0031782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14:ligatures w14:val="none"/>
              </w:rPr>
              <w:t>螺纹受力截面的等效面积，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=(π</m:t>
              </m:r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sub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18"/>
                  <w:szCs w:val="18"/>
                </w:rPr>
                <m:t>)/4</m:t>
              </m:r>
            </m:oMath>
          </w:p>
        </w:tc>
      </w:tr>
    </w:tbl>
    <w:p w14:paraId="049F7492" w14:textId="77777777" w:rsidR="007E0221" w:rsidRDefault="007E0221">
      <w:pPr>
        <w:spacing w:after="0" w:line="480" w:lineRule="auto"/>
        <w:jc w:val="both"/>
        <w:rPr>
          <w:rFonts w:ascii="Times New Roman" w:eastAsia="宋体" w:hAnsi="Times New Roman" w:cs="Times New Roman"/>
          <w:b/>
          <w:bCs/>
          <w:sz w:val="24"/>
          <w14:ligatures w14:val="none"/>
        </w:rPr>
      </w:pPr>
    </w:p>
    <w:p w14:paraId="7447BFDB" w14:textId="77777777" w:rsidR="007E0221" w:rsidRDefault="00317822">
      <w:pPr>
        <w:spacing w:after="0" w:line="480" w:lineRule="auto"/>
        <w:jc w:val="both"/>
        <w:rPr>
          <w:rFonts w:ascii="Times New Roman" w:eastAsia="宋体" w:hAnsi="Times New Roman" w:cs="Times New Roman"/>
          <w:b/>
          <w:bCs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附录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2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：</w:t>
      </w:r>
      <w:r>
        <w:rPr>
          <w:rFonts w:ascii="Times New Roman" w:eastAsia="宋体" w:hAnsi="Times New Roman" w:cs="Times New Roman"/>
          <w:b/>
          <w:bCs/>
          <w:sz w:val="24"/>
          <w14:ligatures w14:val="none"/>
        </w:rPr>
        <w:t>问题</w:t>
      </w:r>
      <w:r>
        <w:rPr>
          <w:rFonts w:ascii="Times New Roman" w:eastAsia="宋体" w:hAnsi="Times New Roman" w:cs="Times New Roman"/>
          <w:b/>
          <w:bCs/>
          <w:sz w:val="24"/>
          <w14:ligatures w14:val="none"/>
        </w:rPr>
        <w:t>2</w:t>
      </w:r>
      <w:r>
        <w:rPr>
          <w:rFonts w:ascii="Times New Roman" w:eastAsia="宋体" w:hAnsi="Times New Roman" w:cs="Times New Roman"/>
          <w:b/>
          <w:bCs/>
          <w:sz w:val="24"/>
          <w14:ligatures w14:val="none"/>
        </w:rPr>
        <w:t>相关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物理模型和工程约束</w:t>
      </w:r>
    </w:p>
    <w:p w14:paraId="7F9824F3" w14:textId="77777777" w:rsidR="007E0221" w:rsidRDefault="00317822">
      <w:pPr>
        <w:spacing w:after="0" w:line="400" w:lineRule="exact"/>
        <w:ind w:firstLineChars="200" w:firstLine="480"/>
        <w:jc w:val="both"/>
        <w:rPr>
          <w:rFonts w:ascii="Times New Roman" w:eastAsia="宋体" w:hAnsi="Times New Roman" w:cs="Times New Roman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sz w:val="24"/>
          <w14:ligatures w14:val="none"/>
        </w:rPr>
        <w:t>（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1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）锚杆强度极限：预紧力</w:t>
      </w:r>
      <m:oMath>
        <m:r>
          <w:rPr>
            <w:rFonts w:ascii="Cambria Math" w:hAnsi="Cambria Math"/>
          </w:rPr>
          <m:t>P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不得超过锚杆杆体的屈服载荷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yield</m:t>
            </m:r>
          </m:sub>
        </m:sSub>
      </m:oMath>
      <w:r>
        <w:rPr>
          <w:rFonts w:ascii="Times New Roman" w:eastAsia="宋体" w:hAnsi="Times New Roman" w:cs="Times New Roman"/>
          <w:sz w:val="24"/>
          <w14:ligatures w14:val="none"/>
        </w:rPr>
        <w:t>。</w:t>
      </w:r>
    </w:p>
    <w:p w14:paraId="0ACE69CE" w14:textId="77777777" w:rsidR="007E0221" w:rsidRDefault="00317822">
      <w:pPr>
        <w:spacing w:after="0" w:line="400" w:lineRule="exact"/>
        <w:ind w:firstLineChars="200" w:firstLine="480"/>
        <w:jc w:val="both"/>
        <w:rPr>
          <w:rFonts w:ascii="Times New Roman" w:eastAsia="宋体" w:hAnsi="Times New Roman" w:cs="Times New Roman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sz w:val="24"/>
          <w14:ligatures w14:val="none"/>
        </w:rPr>
        <w:t>（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2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）锚固系统极限：预紧力</w:t>
      </w:r>
      <m:oMath>
        <m:r>
          <w:rPr>
            <w:rFonts w:ascii="Cambria Math" w:hAnsi="Cambria Math"/>
          </w:rPr>
          <m:t>P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不得超过锚固剂与围岩的极限粘结力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bond</m:t>
            </m:r>
          </m:sub>
        </m:sSub>
      </m:oMath>
      <w:r>
        <w:rPr>
          <w:rFonts w:ascii="Times New Roman" w:eastAsia="宋体" w:hAnsi="Times New Roman" w:cs="Times New Roman"/>
          <w:sz w:val="24"/>
          <w14:ligatures w14:val="none"/>
        </w:rPr>
        <w:t>。</w:t>
      </w:r>
    </w:p>
    <w:p w14:paraId="2BBDAA20" w14:textId="77777777" w:rsidR="007E0221" w:rsidRDefault="00DC221C">
      <w:pPr>
        <w:spacing w:after="0" w:line="400" w:lineRule="exact"/>
        <w:ind w:firstLineChars="200" w:firstLine="440"/>
        <w:jc w:val="both"/>
        <w:rPr>
          <w:rFonts w:ascii="Times New Roman" w:eastAsia="宋体" w:hAnsi="Times New Roman" w:cs="Times New Roman"/>
          <w:sz w:val="24"/>
          <w14:ligatures w14:val="non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bond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π</m:t>
          </m:r>
          <m:r>
            <m:rPr>
              <m:sty m:val="p"/>
            </m:rP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hole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bond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⋅</m:t>
          </m:r>
          <m:r>
            <w:rPr>
              <w:rFonts w:ascii="Cambria Math" w:hAnsi="Cambria Math"/>
            </w:rPr>
            <m:t>τ</m:t>
          </m:r>
          <m:r>
            <m:rPr>
              <m:sty m:val="p"/>
            </m:rP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-3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nor/>
                </m:rPr>
                <m:t>kN</m:t>
              </m:r>
            </m:e>
          </m:d>
        </m:oMath>
      </m:oMathPara>
    </w:p>
    <w:p w14:paraId="2634607F" w14:textId="77777777" w:rsidR="007E0221" w:rsidRDefault="00317822">
      <w:pPr>
        <w:spacing w:after="0" w:line="400" w:lineRule="exact"/>
        <w:jc w:val="both"/>
        <w:rPr>
          <w:rFonts w:ascii="Times New Roman" w:eastAsia="宋体" w:hAnsi="Times New Roman" w:cs="Times New Roman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sz w:val="24"/>
          <w14:ligatures w14:val="none"/>
        </w:rPr>
        <w:t>式中：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hole</m:t>
            </m:r>
          </m:sub>
        </m:sSub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为钻孔直径（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mm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），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bond</m:t>
            </m:r>
          </m:sub>
        </m:sSub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为有效锚固长度（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mm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），</w:t>
      </w:r>
      <m:oMath>
        <m:r>
          <w:rPr>
            <w:rFonts w:ascii="Cambria Math" w:hAnsi="Cambria Math"/>
          </w:rPr>
          <m:t>τ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为围岩与锚固剂界面的剪切强度（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MPa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）。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lastRenderedPageBreak/>
        <w:t>同时，假设剪切强度</w:t>
      </w:r>
      <m:oMath>
        <m:r>
          <w:rPr>
            <w:rFonts w:ascii="Cambria Math" w:hAnsi="Cambria Math"/>
          </w:rPr>
          <m:t>τ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（单位：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MPa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）与围岩弹性模量</w:t>
      </w:r>
      <m:oMath>
        <m:r>
          <w:rPr>
            <w:rFonts w:ascii="Cambria Math" w:hAnsi="Cambria Math"/>
          </w:rPr>
          <m:t>E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（单位：</w:t>
      </w:r>
      <w:proofErr w:type="spellStart"/>
      <w:r>
        <w:rPr>
          <w:rFonts w:ascii="Times New Roman" w:eastAsia="宋体" w:hAnsi="Times New Roman" w:cs="Times New Roman" w:hint="eastAsia"/>
          <w:sz w:val="24"/>
          <w14:ligatures w14:val="none"/>
        </w:rPr>
        <w:t>GPa</w:t>
      </w:r>
      <w:proofErr w:type="spellEnd"/>
      <w:r>
        <w:rPr>
          <w:rFonts w:ascii="Times New Roman" w:eastAsia="宋体" w:hAnsi="Times New Roman" w:cs="Times New Roman" w:hint="eastAsia"/>
          <w:sz w:val="24"/>
          <w14:ligatures w14:val="none"/>
        </w:rPr>
        <w:t>）满足以下关系：</w:t>
      </w:r>
    </w:p>
    <w:p w14:paraId="4266BDEE" w14:textId="77777777" w:rsidR="007E0221" w:rsidRDefault="00317822">
      <w:pPr>
        <w:spacing w:after="0" w:line="400" w:lineRule="exact"/>
        <w:ind w:firstLineChars="200" w:firstLine="440"/>
        <w:jc w:val="both"/>
        <w:rPr>
          <w:rFonts w:ascii="Times New Roman" w:eastAsia="宋体" w:hAnsi="Times New Roman" w:cs="Times New Roman"/>
          <w:sz w:val="24"/>
          <w14:ligatures w14:val="none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τ</m:t>
          </m:r>
          <m:r>
            <m:rPr>
              <m:sty m:val="p"/>
            </m:rPr>
            <w:rPr>
              <w:rFonts w:ascii="Cambria Math" w:hAnsi="Cambria Math"/>
            </w:rPr>
            <m:t>=0.25⋅</m:t>
          </m:r>
          <m:r>
            <w:rPr>
              <w:rFonts w:ascii="Cambria Math" w:hAnsi="Cambria Math"/>
            </w:rPr>
            <m:t>E</m:t>
          </m:r>
          <m:r>
            <m:rPr>
              <m:sty m:val="p"/>
            </m:rPr>
            <w:rPr>
              <w:rFonts w:ascii="Cambria Math" w:hAnsi="Cambria Math"/>
            </w:rPr>
            <m:t>+1.0</m:t>
          </m:r>
        </m:oMath>
      </m:oMathPara>
    </w:p>
    <w:p w14:paraId="7A912C79" w14:textId="77777777" w:rsidR="007E0221" w:rsidRDefault="00317822">
      <w:pPr>
        <w:spacing w:after="0" w:line="400" w:lineRule="exact"/>
        <w:ind w:firstLineChars="200" w:firstLine="480"/>
        <w:jc w:val="both"/>
        <w:rPr>
          <w:rFonts w:ascii="Times New Roman" w:eastAsia="宋体" w:hAnsi="Times New Roman" w:cs="Times New Roman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sz w:val="24"/>
          <w14:ligatures w14:val="none"/>
        </w:rPr>
        <w:t>（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3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）围岩压陷极限：当仅使用托盘时，托盘对围岩的压入深度</w:t>
      </w:r>
      <m:oMath>
        <m:r>
          <w:rPr>
            <w:rFonts w:ascii="Cambria Math" w:hAnsi="Cambria Math"/>
          </w:rPr>
          <m:t>δ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超过允许压入深度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，则判定当前工况下必须增加钢带以分散压力。压入深度</w:t>
      </w:r>
      <m:oMath>
        <m:r>
          <w:rPr>
            <w:rFonts w:ascii="Cambria Math" w:hAnsi="Cambria Math"/>
          </w:rPr>
          <m:t>δ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可采用</w:t>
      </w:r>
      <w:r>
        <w:rPr>
          <w:rFonts w:ascii="Times New Roman" w:eastAsia="宋体" w:hAnsi="Times New Roman" w:cs="Times New Roman"/>
          <w:sz w:val="24"/>
          <w14:ligatures w14:val="none"/>
        </w:rPr>
        <w:t>Winkler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弹性地基模型估算</w:t>
      </w:r>
    </w:p>
    <w:p w14:paraId="2E641612" w14:textId="77777777" w:rsidR="007E0221" w:rsidRDefault="00317822">
      <w:pPr>
        <w:spacing w:after="0" w:line="240" w:lineRule="auto"/>
        <w:jc w:val="both"/>
        <w:rPr>
          <w:rFonts w:ascii="Times New Roman" w:eastAsia="宋体" w:hAnsi="Times New Roman" w:cs="Times New Roman"/>
          <w:sz w:val="24"/>
          <w14:ligatures w14:val="none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δ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ν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⋅</m:t>
                  </m:r>
                  <m:r>
                    <w:rPr>
                      <w:rFonts w:ascii="Cambria Math" w:hAnsi="Cambria Math" w:cs="Cambria Math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50AF6A9C" w14:textId="77777777" w:rsidR="007E0221" w:rsidRDefault="00317822">
      <w:pPr>
        <w:spacing w:after="0" w:line="400" w:lineRule="exact"/>
        <w:jc w:val="both"/>
        <w:rPr>
          <w:rFonts w:ascii="Times New Roman" w:eastAsia="宋体" w:hAnsi="Times New Roman" w:cs="Times New Roman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sz w:val="24"/>
          <w14:ligatures w14:val="none"/>
        </w:rPr>
        <w:t>式中：</w:t>
      </w:r>
      <m:oMath>
        <m:r>
          <w:rPr>
            <w:rFonts w:ascii="Cambria Math" w:hAnsi="Cambria Math"/>
          </w:rPr>
          <m:t>E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为围岩弹性模量（</w:t>
      </w:r>
      <w:proofErr w:type="spellStart"/>
      <w:r>
        <w:rPr>
          <w:rFonts w:ascii="Times New Roman" w:eastAsia="宋体" w:hAnsi="Times New Roman" w:cs="Times New Roman" w:hint="eastAsia"/>
          <w:sz w:val="24"/>
          <w14:ligatures w14:val="none"/>
        </w:rPr>
        <w:t>GPa</w:t>
      </w:r>
      <w:proofErr w:type="spellEnd"/>
      <w:r>
        <w:rPr>
          <w:rFonts w:ascii="Times New Roman" w:eastAsia="宋体" w:hAnsi="Times New Roman" w:cs="Times New Roman" w:hint="eastAsia"/>
          <w:sz w:val="24"/>
          <w14:ligatures w14:val="none"/>
        </w:rPr>
        <w:t>），</w:t>
      </w:r>
      <m:oMath>
        <m:r>
          <w:rPr>
            <w:rFonts w:ascii="Cambria Math" w:hAnsi="Cambria Math"/>
          </w:rPr>
          <m:t>ν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为泊松比，</w:t>
      </w:r>
      <m:oMath>
        <m:r>
          <w:rPr>
            <w:rFonts w:ascii="Cambria Math" w:hAnsi="Cambria Math"/>
          </w:rPr>
          <m:t>b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为托盘边长（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mm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），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为围岩载荷影响深度（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mm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），</w:t>
      </w:r>
      <w:r>
        <w:rPr>
          <w:rFonts w:ascii="Times New Roman" w:eastAsia="宋体" w:hAnsi="Times New Roman" w:cs="Times New Roman" w:hint="eastAsia"/>
          <w:i/>
          <w:sz w:val="24"/>
          <w14:ligatures w14:val="none"/>
        </w:rPr>
        <w:t>P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为预紧力。</w:t>
      </w:r>
    </w:p>
    <w:p w14:paraId="7499B3BE" w14:textId="77777777" w:rsidR="007E0221" w:rsidRDefault="007E0221">
      <w:pPr>
        <w:spacing w:after="0" w:line="400" w:lineRule="exact"/>
        <w:jc w:val="both"/>
        <w:rPr>
          <w:rFonts w:ascii="Times New Roman" w:eastAsia="宋体" w:hAnsi="Times New Roman" w:cs="Times New Roman"/>
          <w:sz w:val="24"/>
          <w14:ligatures w14:val="none"/>
        </w:rPr>
      </w:pPr>
    </w:p>
    <w:p w14:paraId="47916E65" w14:textId="77777777" w:rsidR="007E0221" w:rsidRDefault="00317822">
      <w:pPr>
        <w:spacing w:after="0" w:line="480" w:lineRule="auto"/>
        <w:jc w:val="both"/>
        <w:rPr>
          <w:rFonts w:ascii="Times New Roman" w:eastAsia="宋体" w:hAnsi="Times New Roman" w:cs="Times New Roman"/>
          <w:b/>
          <w:bCs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附录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3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：</w:t>
      </w:r>
      <w:r>
        <w:rPr>
          <w:rFonts w:ascii="Times New Roman" w:eastAsia="宋体" w:hAnsi="Times New Roman" w:cs="Times New Roman"/>
          <w:b/>
          <w:bCs/>
          <w:sz w:val="24"/>
          <w14:ligatures w14:val="none"/>
        </w:rPr>
        <w:t>问题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3</w:t>
      </w:r>
      <w:r>
        <w:rPr>
          <w:rFonts w:ascii="Times New Roman" w:eastAsia="宋体" w:hAnsi="Times New Roman" w:cs="Times New Roman"/>
          <w:b/>
          <w:bCs/>
          <w:sz w:val="24"/>
          <w14:ligatures w14:val="none"/>
        </w:rPr>
        <w:t>相关力学公式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与参数</w:t>
      </w:r>
    </w:p>
    <w:p w14:paraId="3144E199" w14:textId="77777777" w:rsidR="007E0221" w:rsidRDefault="00317822">
      <w:pPr>
        <w:spacing w:after="0" w:line="400" w:lineRule="exact"/>
        <w:ind w:firstLineChars="200" w:firstLine="480"/>
        <w:jc w:val="both"/>
        <w:rPr>
          <w:rFonts w:ascii="Times New Roman" w:eastAsia="宋体" w:hAnsi="Times New Roman" w:cs="Times New Roman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sz w:val="24"/>
          <w14:ligatures w14:val="none"/>
        </w:rPr>
        <w:t>锚杆螺纹段同时承受以下三种应力的联合作用：</w:t>
      </w:r>
    </w:p>
    <w:p w14:paraId="3A8F7A4E" w14:textId="77777777" w:rsidR="007E0221" w:rsidRDefault="00317822">
      <w:pPr>
        <w:spacing w:after="0" w:line="400" w:lineRule="exact"/>
        <w:ind w:firstLineChars="200" w:firstLine="482"/>
        <w:jc w:val="both"/>
        <w:rPr>
          <w:rFonts w:ascii="Times New Roman" w:eastAsia="宋体" w:hAnsi="Times New Roman" w:cs="Times New Roman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（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1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）轴向拉应力</w:t>
      </w:r>
      <w:r>
        <w:rPr>
          <w:rFonts w:ascii="Times New Roman" w:eastAsia="宋体" w:hAnsi="Times New Roman" w:cs="Times New Roman"/>
          <w:b/>
          <w:bCs/>
          <w:sz w:val="24"/>
          <w14:ligatures w14:val="none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：</w:t>
      </w:r>
      <w:proofErr w:type="gramStart"/>
      <w:r>
        <w:rPr>
          <w:rFonts w:ascii="Times New Roman" w:eastAsia="宋体" w:hAnsi="Times New Roman" w:cs="Times New Roman" w:hint="eastAsia"/>
          <w:sz w:val="24"/>
          <w14:ligatures w14:val="none"/>
        </w:rPr>
        <w:t>由预紧</w:t>
      </w:r>
      <w:proofErr w:type="gramEnd"/>
      <w:r>
        <w:rPr>
          <w:rFonts w:ascii="Times New Roman" w:eastAsia="宋体" w:hAnsi="Times New Roman" w:cs="Times New Roman" w:hint="eastAsia"/>
          <w:sz w:val="24"/>
          <w14:ligatures w14:val="none"/>
        </w:rPr>
        <w:t>力</w:t>
      </w:r>
      <m:oMath>
        <m:r>
          <w:rPr>
            <w:rFonts w:ascii="Cambria Math" w:hAnsi="Cambria Math"/>
          </w:rPr>
          <m:t>P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引起：</w:t>
      </w:r>
    </w:p>
    <w:p w14:paraId="2D53E65E" w14:textId="77777777" w:rsidR="007E0221" w:rsidRDefault="00DC221C">
      <w:pPr>
        <w:spacing w:after="0" w:line="240" w:lineRule="auto"/>
        <w:jc w:val="both"/>
        <w:rPr>
          <w:rFonts w:ascii="Times New Roman" w:eastAsia="宋体" w:hAnsi="Times New Roman" w:cs="Times New Roman"/>
          <w:sz w:val="24"/>
          <w14:ligatures w14:val="non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P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e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T</m:t>
              </m:r>
            </m:num>
            <m:den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e</m:t>
                  </m:r>
                </m:sub>
              </m:sSub>
            </m:den>
          </m:f>
        </m:oMath>
      </m:oMathPara>
    </w:p>
    <w:p w14:paraId="06B96A6F" w14:textId="77777777" w:rsidR="007E0221" w:rsidRDefault="00317822">
      <w:pPr>
        <w:spacing w:after="0" w:line="400" w:lineRule="exact"/>
        <w:ind w:firstLineChars="200" w:firstLine="482"/>
        <w:jc w:val="both"/>
        <w:rPr>
          <w:rFonts w:ascii="Times New Roman" w:eastAsia="宋体" w:hAnsi="Times New Roman" w:cs="Times New Roman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（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2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）弯曲应力</w:t>
      </w:r>
      <w:r>
        <w:rPr>
          <w:rFonts w:ascii="Times New Roman" w:eastAsia="宋体" w:hAnsi="Times New Roman" w:cs="Times New Roman"/>
          <w:b/>
          <w:bCs/>
          <w:sz w:val="24"/>
          <w14:ligatures w14:val="none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：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由偏心距</w:t>
      </w:r>
      <m:oMath>
        <m:r>
          <w:rPr>
            <w:rFonts w:ascii="Cambria Math" w:hAnsi="Cambria Math"/>
          </w:rPr>
          <m:t>e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引起的附加弯矩</w:t>
      </w: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e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导致：</w:t>
      </w:r>
    </w:p>
    <w:p w14:paraId="1234E657" w14:textId="77777777" w:rsidR="007E0221" w:rsidRDefault="00DC221C">
      <w:pPr>
        <w:spacing w:after="0" w:line="240" w:lineRule="auto"/>
        <w:jc w:val="both"/>
        <w:rPr>
          <w:rFonts w:ascii="Times New Roman" w:eastAsia="宋体" w:hAnsi="Times New Roman" w:cs="Times New Roman"/>
          <w:sz w:val="24"/>
          <w14:ligatures w14:val="non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M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e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e</m:t>
              </m:r>
            </m:num>
            <m:den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den>
          </m:f>
        </m:oMath>
      </m:oMathPara>
    </w:p>
    <w:p w14:paraId="12754C0F" w14:textId="77777777" w:rsidR="007E0221" w:rsidRDefault="00317822">
      <w:pPr>
        <w:spacing w:after="0" w:line="400" w:lineRule="exact"/>
        <w:ind w:firstLineChars="200" w:firstLine="482"/>
        <w:jc w:val="both"/>
        <w:rPr>
          <w:rFonts w:ascii="Times New Roman" w:eastAsia="宋体" w:hAnsi="Times New Roman" w:cs="Times New Roman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（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3</w:t>
      </w:r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）扭转剪应力</w:t>
      </w:r>
      <w:r>
        <w:rPr>
          <w:rFonts w:ascii="Times New Roman" w:eastAsia="宋体" w:hAnsi="Times New Roman" w:cs="Times New Roman"/>
          <w:b/>
          <w:bCs/>
          <w:sz w:val="24"/>
          <w14:ligatures w14:val="none"/>
        </w:rPr>
        <w:t xml:space="preserve"> </w:t>
      </w:r>
      <m:oMath>
        <m:r>
          <w:rPr>
            <w:rFonts w:ascii="Cambria Math" w:hAnsi="Cambria Math"/>
          </w:rPr>
          <m:t>τ</m:t>
        </m:r>
      </m:oMath>
      <w:r>
        <w:rPr>
          <w:rFonts w:ascii="Times New Roman" w:eastAsia="宋体" w:hAnsi="Times New Roman" w:cs="Times New Roman" w:hint="eastAsia"/>
          <w:b/>
          <w:bCs/>
          <w:sz w:val="24"/>
          <w14:ligatures w14:val="none"/>
        </w:rPr>
        <w:t>：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由施工拧紧过程中的螺纹</w:t>
      </w:r>
      <w:proofErr w:type="gramStart"/>
      <w:r>
        <w:rPr>
          <w:rFonts w:ascii="Times New Roman" w:eastAsia="宋体" w:hAnsi="Times New Roman" w:cs="Times New Roman" w:hint="eastAsia"/>
          <w:sz w:val="24"/>
          <w14:ligatures w14:val="none"/>
        </w:rPr>
        <w:t>段有效</w:t>
      </w:r>
      <w:proofErr w:type="gramEnd"/>
      <w:r>
        <w:rPr>
          <w:rFonts w:ascii="Times New Roman" w:eastAsia="宋体" w:hAnsi="Times New Roman" w:cs="Times New Roman" w:hint="eastAsia"/>
          <w:sz w:val="24"/>
          <w14:ligatures w14:val="none"/>
        </w:rPr>
        <w:t>扭矩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T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引起：</w:t>
      </w:r>
    </w:p>
    <w:p w14:paraId="38F3949F" w14:textId="77777777" w:rsidR="007E0221" w:rsidRDefault="00317822">
      <w:pPr>
        <w:spacing w:after="0" w:line="240" w:lineRule="auto"/>
        <w:jc w:val="both"/>
        <w:rPr>
          <w:rFonts w:ascii="Times New Roman" w:eastAsia="宋体" w:hAnsi="Times New Roman" w:cs="Times New Roman"/>
          <w:sz w:val="24"/>
          <w14:ligatures w14:val="none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τ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T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den>
          </m:f>
        </m:oMath>
      </m:oMathPara>
    </w:p>
    <w:p w14:paraId="739961F0" w14:textId="77777777" w:rsidR="007E0221" w:rsidRDefault="00317822">
      <w:pPr>
        <w:spacing w:after="0" w:line="400" w:lineRule="exact"/>
        <w:ind w:firstLineChars="200" w:firstLine="480"/>
        <w:jc w:val="both"/>
        <w:rPr>
          <w:rFonts w:ascii="Times New Roman" w:eastAsia="宋体" w:hAnsi="Times New Roman" w:cs="Times New Roman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sz w:val="24"/>
          <w14:ligatures w14:val="none"/>
        </w:rPr>
        <w:t>三种应力的叠加可能导致锚杆在螺纹根部发生齐根断裂。工程上常采用</w:t>
      </w:r>
      <w:r>
        <w:rPr>
          <w:rFonts w:ascii="Times New Roman" w:eastAsia="宋体" w:hAnsi="Times New Roman" w:cs="Times New Roman"/>
          <w:sz w:val="24"/>
          <w14:ligatures w14:val="none"/>
        </w:rPr>
        <w:t>Von Mises</w:t>
      </w:r>
      <w:r>
        <w:rPr>
          <w:rFonts w:ascii="Times New Roman" w:eastAsia="宋体" w:hAnsi="Times New Roman" w:cs="Times New Roman" w:hint="eastAsia"/>
          <w:sz w:val="24"/>
          <w14:ligatures w14:val="none"/>
        </w:rPr>
        <w:t>等效应力准则进行判断，要求等效应力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eq</m:t>
            </m:r>
          </m:sub>
        </m:sSub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不超过材料的许用应力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σ</m:t>
            </m:r>
          </m:e>
        </m:d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：</w:t>
      </w:r>
    </w:p>
    <w:p w14:paraId="5E4F2DA5" w14:textId="77777777" w:rsidR="007E0221" w:rsidRDefault="00DC221C">
      <w:pPr>
        <w:spacing w:after="0" w:line="240" w:lineRule="auto"/>
        <w:jc w:val="both"/>
        <w:rPr>
          <w:rFonts w:ascii="Times New Roman" w:eastAsia="宋体" w:hAnsi="Times New Roman" w:cs="Times New Roman"/>
          <w:sz w:val="24"/>
          <w14:ligatures w14:val="non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eq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+3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  <m:r>
            <m:rPr>
              <m:sty m:val="p"/>
            </m:rPr>
            <w:rPr>
              <w:rFonts w:ascii="Cambria Math" w:hAnsi="Cambria Math"/>
            </w:rPr>
            <m:t>≤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σ</m:t>
              </m:r>
            </m:e>
          </m:d>
        </m:oMath>
      </m:oMathPara>
    </w:p>
    <w:p w14:paraId="1E96FDB7" w14:textId="77777777" w:rsidR="007E0221" w:rsidRDefault="00317822">
      <w:pPr>
        <w:spacing w:after="0" w:line="400" w:lineRule="exact"/>
        <w:ind w:firstLineChars="200" w:firstLine="480"/>
        <w:jc w:val="both"/>
        <w:rPr>
          <w:rFonts w:ascii="Times New Roman" w:eastAsia="宋体" w:hAnsi="Times New Roman" w:cs="Times New Roman"/>
          <w:sz w:val="24"/>
          <w14:ligatures w14:val="none"/>
        </w:rPr>
      </w:pPr>
      <w:r>
        <w:rPr>
          <w:rFonts w:ascii="Times New Roman" w:eastAsia="宋体" w:hAnsi="Times New Roman" w:cs="Times New Roman"/>
          <w:sz w:val="24"/>
          <w14:ligatures w14:val="none"/>
        </w:rPr>
        <w:t>上述公式中，应力均按螺纹有效截面的名义几何参数计算。实际工程中，螺纹根部截面突变会导致应力集中，实际最大应力可能高于名义应力值。</w:t>
      </w:r>
    </w:p>
    <w:p w14:paraId="2190291A" w14:textId="77777777" w:rsidR="007E0221" w:rsidRDefault="00317822">
      <w:pPr>
        <w:spacing w:after="0" w:line="400" w:lineRule="exact"/>
        <w:ind w:firstLineChars="200" w:firstLine="480"/>
        <w:jc w:val="both"/>
        <w:rPr>
          <w:rFonts w:ascii="Times New Roman" w:eastAsia="宋体" w:hAnsi="Times New Roman" w:cs="Times New Roman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sz w:val="24"/>
          <w14:ligatures w14:val="none"/>
        </w:rPr>
        <w:t>螺纹</w:t>
      </w:r>
      <w:proofErr w:type="gramStart"/>
      <w:r>
        <w:rPr>
          <w:rFonts w:ascii="Times New Roman" w:eastAsia="宋体" w:hAnsi="Times New Roman" w:cs="Times New Roman" w:hint="eastAsia"/>
          <w:sz w:val="24"/>
          <w14:ligatures w14:val="none"/>
        </w:rPr>
        <w:t>段有效</w:t>
      </w:r>
      <w:proofErr w:type="gramEnd"/>
      <w:r>
        <w:rPr>
          <w:rFonts w:ascii="Times New Roman" w:eastAsia="宋体" w:hAnsi="Times New Roman" w:cs="Times New Roman" w:hint="eastAsia"/>
          <w:sz w:val="24"/>
          <w14:ligatures w14:val="none"/>
        </w:rPr>
        <w:t>截面的几何参数（有效截面积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、抗弯截面系数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、</w:t>
      </w:r>
      <w:proofErr w:type="gramStart"/>
      <w:r>
        <w:rPr>
          <w:rFonts w:ascii="Times New Roman" w:eastAsia="宋体" w:hAnsi="Times New Roman" w:cs="Times New Roman" w:hint="eastAsia"/>
          <w:sz w:val="24"/>
          <w14:ligatures w14:val="none"/>
        </w:rPr>
        <w:t>抗扭截面</w:t>
      </w:r>
      <w:proofErr w:type="gramEnd"/>
      <w:r>
        <w:rPr>
          <w:rFonts w:ascii="Times New Roman" w:eastAsia="宋体" w:hAnsi="Times New Roman" w:cs="Times New Roman" w:hint="eastAsia"/>
          <w:sz w:val="24"/>
          <w14:ligatures w14:val="none"/>
        </w:rPr>
        <w:t>系数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）可由螺纹有效直径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proofErr w:type="gramStart"/>
      <w:r>
        <w:rPr>
          <w:rFonts w:ascii="Times New Roman" w:eastAsia="宋体" w:hAnsi="Times New Roman" w:cs="Times New Roman" w:hint="eastAsia"/>
          <w:sz w:val="24"/>
          <w14:ligatures w14:val="none"/>
        </w:rPr>
        <w:t>按圆截面</w:t>
      </w:r>
      <w:proofErr w:type="gramEnd"/>
      <w:r>
        <w:rPr>
          <w:rFonts w:ascii="Times New Roman" w:eastAsia="宋体" w:hAnsi="Times New Roman" w:cs="Times New Roman" w:hint="eastAsia"/>
          <w:sz w:val="24"/>
          <w14:ligatures w14:val="none"/>
        </w:rPr>
        <w:t>公式计算（参考：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</w:rPr>
          <m:t>=0.85</m:t>
        </m:r>
        <m:r>
          <w:rPr>
            <w:rFonts w:ascii="Cambria Math" w:hAnsi="Cambria Math"/>
          </w:rPr>
          <m:t>d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）。</w:t>
      </w:r>
    </w:p>
    <w:p w14:paraId="32859932" w14:textId="77777777" w:rsidR="007E0221" w:rsidRDefault="00317822">
      <w:pPr>
        <w:spacing w:after="0" w:line="400" w:lineRule="exact"/>
        <w:ind w:firstLineChars="200" w:firstLine="480"/>
        <w:jc w:val="both"/>
        <w:rPr>
          <w:rFonts w:ascii="Times New Roman" w:eastAsia="宋体" w:hAnsi="Times New Roman" w:cs="Times New Roman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sz w:val="24"/>
          <w14:ligatures w14:val="none"/>
        </w:rPr>
        <w:t>为便于计算，可按下表选取典型材料与施工参数：</w:t>
      </w:r>
    </w:p>
    <w:tbl>
      <w:tblPr>
        <w:tblStyle w:val="Table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4501"/>
        <w:gridCol w:w="1511"/>
        <w:gridCol w:w="1386"/>
        <w:gridCol w:w="1511"/>
      </w:tblGrid>
      <w:tr w:rsidR="007E0221" w14:paraId="0E494C85" w14:textId="77777777" w:rsidTr="007E02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tcW w:w="725" w:type="pct"/>
          </w:tcPr>
          <w:p w14:paraId="4A52E955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14:ligatures w14:val="none"/>
              </w:rPr>
              <w:t>序号</w:t>
            </w:r>
          </w:p>
        </w:tc>
        <w:tc>
          <w:tcPr>
            <w:tcW w:w="2160" w:type="pct"/>
            <w:vAlign w:val="center"/>
          </w:tcPr>
          <w:p w14:paraId="69CE375F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14:ligatures w14:val="none"/>
              </w:rPr>
              <w:t>参数</w:t>
            </w:r>
          </w:p>
        </w:tc>
        <w:tc>
          <w:tcPr>
            <w:tcW w:w="725" w:type="pct"/>
            <w:vAlign w:val="center"/>
          </w:tcPr>
          <w:p w14:paraId="272F1B05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14:ligatures w14:val="none"/>
              </w:rPr>
              <w:t>符号</w:t>
            </w:r>
          </w:p>
        </w:tc>
        <w:tc>
          <w:tcPr>
            <w:tcW w:w="665" w:type="pct"/>
            <w:vAlign w:val="center"/>
          </w:tcPr>
          <w:p w14:paraId="552C4AAF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14:ligatures w14:val="none"/>
              </w:rPr>
              <w:t>取值</w:t>
            </w:r>
          </w:p>
        </w:tc>
        <w:tc>
          <w:tcPr>
            <w:tcW w:w="725" w:type="pct"/>
            <w:vAlign w:val="center"/>
          </w:tcPr>
          <w:p w14:paraId="1F39FA70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14:ligatures w14:val="none"/>
              </w:rPr>
              <w:t>单位</w:t>
            </w:r>
          </w:p>
        </w:tc>
      </w:tr>
      <w:tr w:rsidR="007E0221" w14:paraId="208A26D3" w14:textId="77777777" w:rsidTr="007E0221">
        <w:trPr>
          <w:jc w:val="center"/>
        </w:trPr>
        <w:tc>
          <w:tcPr>
            <w:tcW w:w="725" w:type="pct"/>
          </w:tcPr>
          <w:p w14:paraId="2D0935C7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2160" w:type="pct"/>
            <w:vAlign w:val="center"/>
          </w:tcPr>
          <w:p w14:paraId="5560D441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14:ligatures w14:val="none"/>
              </w:rPr>
              <w:t>锚杆屈服强度</w:t>
            </w:r>
          </w:p>
        </w:tc>
        <w:tc>
          <w:tcPr>
            <w:tcW w:w="725" w:type="pct"/>
            <w:vAlign w:val="center"/>
          </w:tcPr>
          <w:p w14:paraId="7EBBADF5" w14:textId="77777777" w:rsidR="007E0221" w:rsidRDefault="00DC221C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665" w:type="pct"/>
            <w:vAlign w:val="center"/>
          </w:tcPr>
          <w:p w14:paraId="010D82E0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  <w:t>500</w:t>
            </w:r>
          </w:p>
        </w:tc>
        <w:tc>
          <w:tcPr>
            <w:tcW w:w="725" w:type="pct"/>
            <w:vAlign w:val="center"/>
          </w:tcPr>
          <w:p w14:paraId="7E626A04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  <w:t>MPa</w:t>
            </w:r>
          </w:p>
        </w:tc>
      </w:tr>
      <w:tr w:rsidR="007E0221" w14:paraId="6CEEBC25" w14:textId="77777777" w:rsidTr="007E0221">
        <w:trPr>
          <w:jc w:val="center"/>
        </w:trPr>
        <w:tc>
          <w:tcPr>
            <w:tcW w:w="725" w:type="pct"/>
          </w:tcPr>
          <w:p w14:paraId="6F0025F8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2160" w:type="pct"/>
            <w:vAlign w:val="center"/>
          </w:tcPr>
          <w:p w14:paraId="73BD9992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14:ligatures w14:val="none"/>
              </w:rPr>
              <w:t>扭矩系数</w:t>
            </w:r>
          </w:p>
        </w:tc>
        <w:tc>
          <w:tcPr>
            <w:tcW w:w="725" w:type="pct"/>
            <w:vAlign w:val="center"/>
          </w:tcPr>
          <w:p w14:paraId="4BB96741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m:oMathPara>
              <m:oMath>
                <m:r>
                  <w:rPr>
                    <w:rFonts w:ascii="Cambria Math" w:hAnsi="Cambria Math"/>
                    <w:sz w:val="21"/>
                    <w:szCs w:val="21"/>
                  </w:rPr>
                  <m:t>K</m:t>
                </m:r>
              </m:oMath>
            </m:oMathPara>
          </w:p>
        </w:tc>
        <w:tc>
          <w:tcPr>
            <w:tcW w:w="665" w:type="pct"/>
            <w:vAlign w:val="center"/>
          </w:tcPr>
          <w:p w14:paraId="22BB1423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  <w:t>0.18</w:t>
            </w:r>
          </w:p>
        </w:tc>
        <w:tc>
          <w:tcPr>
            <w:tcW w:w="725" w:type="pct"/>
            <w:vAlign w:val="center"/>
          </w:tcPr>
          <w:p w14:paraId="7E004F4A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  <w:t>—</w:t>
            </w:r>
          </w:p>
        </w:tc>
      </w:tr>
      <w:tr w:rsidR="007E0221" w14:paraId="3AB821F1" w14:textId="77777777" w:rsidTr="007E0221">
        <w:trPr>
          <w:jc w:val="center"/>
        </w:trPr>
        <w:tc>
          <w:tcPr>
            <w:tcW w:w="725" w:type="pct"/>
          </w:tcPr>
          <w:p w14:paraId="1DB4D7CC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2160" w:type="pct"/>
            <w:vAlign w:val="center"/>
          </w:tcPr>
          <w:p w14:paraId="3DC7666E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14:ligatures w14:val="none"/>
              </w:rPr>
              <w:t>螺纹有效扭矩系数</w:t>
            </w:r>
          </w:p>
        </w:tc>
        <w:tc>
          <w:tcPr>
            <w:tcW w:w="725" w:type="pct"/>
            <w:vAlign w:val="center"/>
          </w:tcPr>
          <w:p w14:paraId="25B16214" w14:textId="77777777" w:rsidR="007E0221" w:rsidRDefault="00DC221C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665" w:type="pct"/>
            <w:vAlign w:val="center"/>
          </w:tcPr>
          <w:p w14:paraId="210C641F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  <w:t>0.09</w:t>
            </w:r>
          </w:p>
        </w:tc>
        <w:tc>
          <w:tcPr>
            <w:tcW w:w="725" w:type="pct"/>
            <w:vAlign w:val="center"/>
          </w:tcPr>
          <w:p w14:paraId="7369BE58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  <w:t>—</w:t>
            </w:r>
          </w:p>
        </w:tc>
      </w:tr>
      <w:tr w:rsidR="007E0221" w14:paraId="4133ABBF" w14:textId="77777777" w:rsidTr="007E0221">
        <w:trPr>
          <w:jc w:val="center"/>
        </w:trPr>
        <w:tc>
          <w:tcPr>
            <w:tcW w:w="725" w:type="pct"/>
          </w:tcPr>
          <w:p w14:paraId="44FAEAA6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2160" w:type="pct"/>
            <w:vAlign w:val="center"/>
          </w:tcPr>
          <w:p w14:paraId="6908C2CF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  <w14:ligatures w14:val="none"/>
              </w:rPr>
              <w:t>公称直径</w:t>
            </w:r>
          </w:p>
        </w:tc>
        <w:tc>
          <w:tcPr>
            <w:tcW w:w="725" w:type="pct"/>
            <w:vAlign w:val="center"/>
          </w:tcPr>
          <w:p w14:paraId="10267D9B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m:oMathPara>
              <m:oMath>
                <m:r>
                  <w:rPr>
                    <w:rFonts w:ascii="Cambria Math" w:hAnsi="Cambria Math"/>
                    <w:sz w:val="21"/>
                    <w:szCs w:val="21"/>
                  </w:rPr>
                  <m:t>d</m:t>
                </m:r>
              </m:oMath>
            </m:oMathPara>
          </w:p>
        </w:tc>
        <w:tc>
          <w:tcPr>
            <w:tcW w:w="665" w:type="pct"/>
            <w:vAlign w:val="center"/>
          </w:tcPr>
          <w:p w14:paraId="2FAD6732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  <w:t>20</w:t>
            </w:r>
          </w:p>
        </w:tc>
        <w:tc>
          <w:tcPr>
            <w:tcW w:w="725" w:type="pct"/>
            <w:vAlign w:val="center"/>
          </w:tcPr>
          <w:p w14:paraId="2A5CB25F" w14:textId="77777777" w:rsidR="007E0221" w:rsidRDefault="00317822">
            <w:pPr>
              <w:spacing w:after="0" w:line="4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  <w14:ligatures w14:val="none"/>
              </w:rPr>
              <w:t>mm</w:t>
            </w:r>
          </w:p>
        </w:tc>
      </w:tr>
    </w:tbl>
    <w:p w14:paraId="765091EE" w14:textId="77777777" w:rsidR="007E0221" w:rsidRDefault="00317822">
      <w:pPr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  <w14:ligatures w14:val="none"/>
        </w:rPr>
        <w:t>注：本题取安全系数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=1.0</m:t>
        </m:r>
      </m:oMath>
      <w:r>
        <w:rPr>
          <w:rFonts w:ascii="Times New Roman" w:eastAsia="宋体" w:hAnsi="Times New Roman" w:cs="Times New Roman" w:hint="eastAsia"/>
          <w:sz w:val="24"/>
          <w14:ligatures w14:val="none"/>
        </w:rPr>
        <w:t>，即许用应力</w:t>
      </w:r>
      <w:r>
        <w:rPr>
          <w:rFonts w:ascii="Times New Roman" w:eastAsia="宋体" w:hAnsi="Times New Roman" w:cs="Times New Roman"/>
          <w:sz w:val="24"/>
          <w14:ligatures w14:val="none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σ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=500</m:t>
        </m:r>
      </m:oMath>
      <w:r>
        <w:rPr>
          <w:rFonts w:ascii="Times New Roman" w:eastAsia="宋体" w:hAnsi="Times New Roman" w:cs="Times New Roman"/>
          <w:sz w:val="24"/>
          <w14:ligatures w14:val="none"/>
        </w:rPr>
        <w:t xml:space="preserve"> MPa</w:t>
      </w:r>
      <w:r>
        <w:rPr>
          <w:rFonts w:ascii="Times New Roman" w:eastAsia="宋体" w:hAnsi="Times New Roman" w:cs="Times New Roman"/>
          <w:sz w:val="24"/>
          <w14:ligatures w14:val="none"/>
        </w:rPr>
        <w:t>。</w:t>
      </w:r>
    </w:p>
    <w:sectPr w:rsidR="007E0221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A539F" w14:textId="77777777" w:rsidR="00DC221C" w:rsidRDefault="00DC221C">
      <w:pPr>
        <w:spacing w:line="240" w:lineRule="auto"/>
      </w:pPr>
      <w:r>
        <w:separator/>
      </w:r>
    </w:p>
  </w:endnote>
  <w:endnote w:type="continuationSeparator" w:id="0">
    <w:p w14:paraId="21D3E464" w14:textId="77777777" w:rsidR="00DC221C" w:rsidRDefault="00DC22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E78AF" w14:textId="77777777" w:rsidR="00DC221C" w:rsidRDefault="00DC221C">
      <w:pPr>
        <w:spacing w:after="0"/>
      </w:pPr>
      <w:r>
        <w:separator/>
      </w:r>
    </w:p>
  </w:footnote>
  <w:footnote w:type="continuationSeparator" w:id="0">
    <w:p w14:paraId="3F704843" w14:textId="77777777" w:rsidR="00DC221C" w:rsidRDefault="00DC221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11D0"/>
    <w:rsid w:val="00014CCF"/>
    <w:rsid w:val="00020D78"/>
    <w:rsid w:val="0003773B"/>
    <w:rsid w:val="0005567C"/>
    <w:rsid w:val="00057F77"/>
    <w:rsid w:val="00071B9E"/>
    <w:rsid w:val="00090CDF"/>
    <w:rsid w:val="00093FD6"/>
    <w:rsid w:val="000A33DA"/>
    <w:rsid w:val="000C230A"/>
    <w:rsid w:val="000C542A"/>
    <w:rsid w:val="000D2286"/>
    <w:rsid w:val="000D4BC0"/>
    <w:rsid w:val="000F5A9C"/>
    <w:rsid w:val="001004FD"/>
    <w:rsid w:val="00105F36"/>
    <w:rsid w:val="00124425"/>
    <w:rsid w:val="0012724A"/>
    <w:rsid w:val="001303C5"/>
    <w:rsid w:val="00131CFC"/>
    <w:rsid w:val="00140141"/>
    <w:rsid w:val="001422E0"/>
    <w:rsid w:val="00144FA9"/>
    <w:rsid w:val="001545E0"/>
    <w:rsid w:val="00160B3A"/>
    <w:rsid w:val="001773B3"/>
    <w:rsid w:val="001935DB"/>
    <w:rsid w:val="001B1ECA"/>
    <w:rsid w:val="001F4400"/>
    <w:rsid w:val="00201030"/>
    <w:rsid w:val="00201AFB"/>
    <w:rsid w:val="00210B77"/>
    <w:rsid w:val="002111D0"/>
    <w:rsid w:val="00213B0D"/>
    <w:rsid w:val="0021592A"/>
    <w:rsid w:val="00217CE7"/>
    <w:rsid w:val="00226E59"/>
    <w:rsid w:val="002357C5"/>
    <w:rsid w:val="00267A22"/>
    <w:rsid w:val="00272856"/>
    <w:rsid w:val="00281703"/>
    <w:rsid w:val="002B3D59"/>
    <w:rsid w:val="002B7904"/>
    <w:rsid w:val="002F1057"/>
    <w:rsid w:val="00300429"/>
    <w:rsid w:val="00312A43"/>
    <w:rsid w:val="0031581F"/>
    <w:rsid w:val="00317052"/>
    <w:rsid w:val="00317822"/>
    <w:rsid w:val="00323F06"/>
    <w:rsid w:val="003428F6"/>
    <w:rsid w:val="0037035F"/>
    <w:rsid w:val="0039140F"/>
    <w:rsid w:val="00395970"/>
    <w:rsid w:val="003D609E"/>
    <w:rsid w:val="003F5A49"/>
    <w:rsid w:val="004008CF"/>
    <w:rsid w:val="00402C37"/>
    <w:rsid w:val="004142BB"/>
    <w:rsid w:val="004359B2"/>
    <w:rsid w:val="004513C3"/>
    <w:rsid w:val="00460CC6"/>
    <w:rsid w:val="00466B64"/>
    <w:rsid w:val="00467029"/>
    <w:rsid w:val="00471AAA"/>
    <w:rsid w:val="004821DE"/>
    <w:rsid w:val="00483927"/>
    <w:rsid w:val="004A7B77"/>
    <w:rsid w:val="004B68E5"/>
    <w:rsid w:val="004B7586"/>
    <w:rsid w:val="004E0B75"/>
    <w:rsid w:val="004E65BE"/>
    <w:rsid w:val="005015D1"/>
    <w:rsid w:val="0051500E"/>
    <w:rsid w:val="00515CB8"/>
    <w:rsid w:val="00526095"/>
    <w:rsid w:val="00533B1E"/>
    <w:rsid w:val="0053474A"/>
    <w:rsid w:val="005365A1"/>
    <w:rsid w:val="00540DC6"/>
    <w:rsid w:val="00542E17"/>
    <w:rsid w:val="00543477"/>
    <w:rsid w:val="00545931"/>
    <w:rsid w:val="005562C1"/>
    <w:rsid w:val="00565C63"/>
    <w:rsid w:val="00575AC6"/>
    <w:rsid w:val="00577A57"/>
    <w:rsid w:val="00582245"/>
    <w:rsid w:val="0059129B"/>
    <w:rsid w:val="005B3755"/>
    <w:rsid w:val="005E2DB0"/>
    <w:rsid w:val="005F4E47"/>
    <w:rsid w:val="0061438A"/>
    <w:rsid w:val="00614BF8"/>
    <w:rsid w:val="00616B6A"/>
    <w:rsid w:val="0062042B"/>
    <w:rsid w:val="00627159"/>
    <w:rsid w:val="00630273"/>
    <w:rsid w:val="006303E7"/>
    <w:rsid w:val="0065021C"/>
    <w:rsid w:val="00652681"/>
    <w:rsid w:val="006729D4"/>
    <w:rsid w:val="00673A9D"/>
    <w:rsid w:val="00683833"/>
    <w:rsid w:val="0069769D"/>
    <w:rsid w:val="006A3030"/>
    <w:rsid w:val="006B0A19"/>
    <w:rsid w:val="006B2765"/>
    <w:rsid w:val="006C5B60"/>
    <w:rsid w:val="006D1F83"/>
    <w:rsid w:val="006D6E32"/>
    <w:rsid w:val="006E2458"/>
    <w:rsid w:val="006F4EE7"/>
    <w:rsid w:val="0070440D"/>
    <w:rsid w:val="00720136"/>
    <w:rsid w:val="007202E1"/>
    <w:rsid w:val="00731BC0"/>
    <w:rsid w:val="0074256E"/>
    <w:rsid w:val="00775477"/>
    <w:rsid w:val="00787ACA"/>
    <w:rsid w:val="007920BC"/>
    <w:rsid w:val="0079473B"/>
    <w:rsid w:val="007B4C8E"/>
    <w:rsid w:val="007B523D"/>
    <w:rsid w:val="007E0221"/>
    <w:rsid w:val="007E3262"/>
    <w:rsid w:val="007E5F3A"/>
    <w:rsid w:val="007F5F9E"/>
    <w:rsid w:val="007F66E1"/>
    <w:rsid w:val="00804CFC"/>
    <w:rsid w:val="0081259F"/>
    <w:rsid w:val="00821C79"/>
    <w:rsid w:val="00821DF0"/>
    <w:rsid w:val="008225D2"/>
    <w:rsid w:val="00822FC3"/>
    <w:rsid w:val="00835CE0"/>
    <w:rsid w:val="00836BF0"/>
    <w:rsid w:val="0084089C"/>
    <w:rsid w:val="00841C20"/>
    <w:rsid w:val="00842989"/>
    <w:rsid w:val="00842C32"/>
    <w:rsid w:val="00854B16"/>
    <w:rsid w:val="0085656E"/>
    <w:rsid w:val="008566DF"/>
    <w:rsid w:val="00861247"/>
    <w:rsid w:val="008815EA"/>
    <w:rsid w:val="00881FB9"/>
    <w:rsid w:val="00886DB4"/>
    <w:rsid w:val="0089566F"/>
    <w:rsid w:val="00897411"/>
    <w:rsid w:val="008A0BC0"/>
    <w:rsid w:val="008A1861"/>
    <w:rsid w:val="008A2ACF"/>
    <w:rsid w:val="008A51E0"/>
    <w:rsid w:val="008A66EC"/>
    <w:rsid w:val="008A6C04"/>
    <w:rsid w:val="008B2983"/>
    <w:rsid w:val="008C1F02"/>
    <w:rsid w:val="008D235C"/>
    <w:rsid w:val="008E5470"/>
    <w:rsid w:val="008E7FF3"/>
    <w:rsid w:val="00912220"/>
    <w:rsid w:val="00931D24"/>
    <w:rsid w:val="0094453B"/>
    <w:rsid w:val="009540F3"/>
    <w:rsid w:val="00957473"/>
    <w:rsid w:val="00962786"/>
    <w:rsid w:val="009767B5"/>
    <w:rsid w:val="00981202"/>
    <w:rsid w:val="00985120"/>
    <w:rsid w:val="00995557"/>
    <w:rsid w:val="009A1019"/>
    <w:rsid w:val="009B0388"/>
    <w:rsid w:val="009B1587"/>
    <w:rsid w:val="009B2133"/>
    <w:rsid w:val="009D2C25"/>
    <w:rsid w:val="009F3B7A"/>
    <w:rsid w:val="00A14E22"/>
    <w:rsid w:val="00A16556"/>
    <w:rsid w:val="00A16FBD"/>
    <w:rsid w:val="00A2167A"/>
    <w:rsid w:val="00A24C76"/>
    <w:rsid w:val="00A32DE9"/>
    <w:rsid w:val="00A34BA4"/>
    <w:rsid w:val="00A36595"/>
    <w:rsid w:val="00A42EE8"/>
    <w:rsid w:val="00A5231B"/>
    <w:rsid w:val="00A52DB4"/>
    <w:rsid w:val="00A61DAB"/>
    <w:rsid w:val="00A71F59"/>
    <w:rsid w:val="00A774C7"/>
    <w:rsid w:val="00A822E2"/>
    <w:rsid w:val="00A90284"/>
    <w:rsid w:val="00A94F32"/>
    <w:rsid w:val="00AA02B0"/>
    <w:rsid w:val="00AA16FF"/>
    <w:rsid w:val="00AB246D"/>
    <w:rsid w:val="00AB5D19"/>
    <w:rsid w:val="00AC1768"/>
    <w:rsid w:val="00AE5920"/>
    <w:rsid w:val="00AF0240"/>
    <w:rsid w:val="00AF7865"/>
    <w:rsid w:val="00B01499"/>
    <w:rsid w:val="00B20CF4"/>
    <w:rsid w:val="00B265F1"/>
    <w:rsid w:val="00B274DB"/>
    <w:rsid w:val="00B42201"/>
    <w:rsid w:val="00B43F65"/>
    <w:rsid w:val="00B539FE"/>
    <w:rsid w:val="00B80274"/>
    <w:rsid w:val="00B85EDE"/>
    <w:rsid w:val="00B97348"/>
    <w:rsid w:val="00BB08FF"/>
    <w:rsid w:val="00BB30DF"/>
    <w:rsid w:val="00BC086C"/>
    <w:rsid w:val="00BC48F5"/>
    <w:rsid w:val="00BD0C4E"/>
    <w:rsid w:val="00BE73A1"/>
    <w:rsid w:val="00BF3D91"/>
    <w:rsid w:val="00C00FF2"/>
    <w:rsid w:val="00C0552E"/>
    <w:rsid w:val="00C100A1"/>
    <w:rsid w:val="00C36688"/>
    <w:rsid w:val="00C43077"/>
    <w:rsid w:val="00C50811"/>
    <w:rsid w:val="00C64E33"/>
    <w:rsid w:val="00C65BD3"/>
    <w:rsid w:val="00C73BC6"/>
    <w:rsid w:val="00C860E2"/>
    <w:rsid w:val="00CA7730"/>
    <w:rsid w:val="00CC0CC2"/>
    <w:rsid w:val="00CC5BE9"/>
    <w:rsid w:val="00CC6D79"/>
    <w:rsid w:val="00CD45FB"/>
    <w:rsid w:val="00CD677A"/>
    <w:rsid w:val="00CE5940"/>
    <w:rsid w:val="00D00982"/>
    <w:rsid w:val="00D11A5F"/>
    <w:rsid w:val="00D14183"/>
    <w:rsid w:val="00D146DB"/>
    <w:rsid w:val="00D2161D"/>
    <w:rsid w:val="00D439C1"/>
    <w:rsid w:val="00D447D7"/>
    <w:rsid w:val="00D47698"/>
    <w:rsid w:val="00D53897"/>
    <w:rsid w:val="00D57A5A"/>
    <w:rsid w:val="00D63FD3"/>
    <w:rsid w:val="00D80F4B"/>
    <w:rsid w:val="00D82950"/>
    <w:rsid w:val="00D9437A"/>
    <w:rsid w:val="00D945AE"/>
    <w:rsid w:val="00D952F6"/>
    <w:rsid w:val="00DA5694"/>
    <w:rsid w:val="00DC221C"/>
    <w:rsid w:val="00DD3884"/>
    <w:rsid w:val="00DE1A61"/>
    <w:rsid w:val="00DF3D97"/>
    <w:rsid w:val="00DF4240"/>
    <w:rsid w:val="00DF50B5"/>
    <w:rsid w:val="00E06F3B"/>
    <w:rsid w:val="00E13290"/>
    <w:rsid w:val="00E1627B"/>
    <w:rsid w:val="00E26CC5"/>
    <w:rsid w:val="00E30529"/>
    <w:rsid w:val="00E31CEF"/>
    <w:rsid w:val="00E37A73"/>
    <w:rsid w:val="00E42198"/>
    <w:rsid w:val="00E468F5"/>
    <w:rsid w:val="00E54D40"/>
    <w:rsid w:val="00E56965"/>
    <w:rsid w:val="00E70CF3"/>
    <w:rsid w:val="00E7360F"/>
    <w:rsid w:val="00E73CA4"/>
    <w:rsid w:val="00EC5655"/>
    <w:rsid w:val="00ED35DB"/>
    <w:rsid w:val="00ED77B8"/>
    <w:rsid w:val="00EE1FC1"/>
    <w:rsid w:val="00F00001"/>
    <w:rsid w:val="00F055CF"/>
    <w:rsid w:val="00F10ECF"/>
    <w:rsid w:val="00F11EEE"/>
    <w:rsid w:val="00F14C3A"/>
    <w:rsid w:val="00F20DC3"/>
    <w:rsid w:val="00F31263"/>
    <w:rsid w:val="00F32AD2"/>
    <w:rsid w:val="00F43BFC"/>
    <w:rsid w:val="00F531CC"/>
    <w:rsid w:val="00F6592D"/>
    <w:rsid w:val="00F67617"/>
    <w:rsid w:val="00F73A27"/>
    <w:rsid w:val="00F84C73"/>
    <w:rsid w:val="00FA66BB"/>
    <w:rsid w:val="00FB6349"/>
    <w:rsid w:val="00FD2982"/>
    <w:rsid w:val="00FD58C5"/>
    <w:rsid w:val="00FE1CBF"/>
    <w:rsid w:val="00FF63BE"/>
    <w:rsid w:val="173B7F2B"/>
    <w:rsid w:val="1B46274F"/>
    <w:rsid w:val="25576F2E"/>
    <w:rsid w:val="3D476CED"/>
    <w:rsid w:val="5B8B6CD7"/>
    <w:rsid w:val="6B1E7934"/>
    <w:rsid w:val="75F7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4F4F032"/>
  <w15:docId w15:val="{EDCBEB46-BB42-43C6-A3F6-F4278CC52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</w:style>
  <w:style w:type="paragraph" w:styleId="a5">
    <w:name w:val="Body Text"/>
    <w:basedOn w:val="a"/>
    <w:unhideWhenUsed/>
    <w:qFormat/>
    <w:pPr>
      <w:spacing w:after="120"/>
    </w:p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Subtitle"/>
    <w:basedOn w:val="a"/>
    <w:next w:val="a"/>
    <w:link w:val="ad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e">
    <w:name w:val="Normal (Web)"/>
    <w:basedOn w:val="a"/>
    <w:uiPriority w:val="99"/>
    <w:qFormat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styleId="af">
    <w:name w:val="Title"/>
    <w:basedOn w:val="a"/>
    <w:next w:val="a"/>
    <w:link w:val="af0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annotation subject"/>
    <w:basedOn w:val="a3"/>
    <w:next w:val="a3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f0">
    <w:name w:val="标题 字符"/>
    <w:basedOn w:val="a0"/>
    <w:link w:val="af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副标题 字符"/>
    <w:basedOn w:val="a0"/>
    <w:link w:val="ac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5">
    <w:name w:val="Quote"/>
    <w:basedOn w:val="a"/>
    <w:next w:val="a"/>
    <w:link w:val="af6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0"/>
    <w:link w:val="af5"/>
    <w:uiPriority w:val="29"/>
    <w:qFormat/>
    <w:rPr>
      <w:i/>
      <w:iCs/>
      <w:color w:val="404040" w:themeColor="text1" w:themeTint="BF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f8">
    <w:name w:val="Intense Quote"/>
    <w:basedOn w:val="a"/>
    <w:next w:val="a"/>
    <w:link w:val="af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9">
    <w:name w:val="明显引用 字符"/>
    <w:basedOn w:val="a0"/>
    <w:link w:val="af8"/>
    <w:uiPriority w:val="30"/>
    <w:qFormat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styleId="afa">
    <w:name w:val="Placeholder Text"/>
    <w:basedOn w:val="a0"/>
    <w:uiPriority w:val="99"/>
    <w:semiHidden/>
    <w:qFormat/>
    <w:rPr>
      <w:color w:val="666666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f2">
    <w:name w:val="批注主题 字符"/>
    <w:basedOn w:val="a4"/>
    <w:link w:val="af1"/>
    <w:uiPriority w:val="99"/>
    <w:semiHidden/>
    <w:qFormat/>
    <w:rPr>
      <w:b/>
      <w:bCs/>
    </w:rPr>
  </w:style>
  <w:style w:type="paragraph" w:customStyle="1" w:styleId="13">
    <w:name w:val="修订1"/>
    <w:hidden/>
    <w:uiPriority w:val="99"/>
    <w:semiHidden/>
    <w:qFormat/>
    <w:rPr>
      <w:kern w:val="2"/>
      <w:sz w:val="22"/>
      <w:szCs w:val="24"/>
      <w14:ligatures w14:val="standardContextual"/>
    </w:rPr>
  </w:style>
  <w:style w:type="paragraph" w:customStyle="1" w:styleId="FirstParagraph">
    <w:name w:val="First Paragraph"/>
    <w:basedOn w:val="a5"/>
    <w:next w:val="a5"/>
    <w:qFormat/>
    <w:pPr>
      <w:spacing w:before="180" w:after="180" w:line="240" w:lineRule="auto"/>
    </w:pPr>
    <w:rPr>
      <w:rFonts w:eastAsia="Times New Roman"/>
      <w:color w:val="000000" w:themeColor="text1"/>
      <w:sz w:val="21"/>
    </w:rPr>
  </w:style>
  <w:style w:type="table" w:customStyle="1" w:styleId="Table">
    <w:name w:val="Table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676</Words>
  <Characters>3859</Characters>
  <Application>Microsoft Office Word</Application>
  <DocSecurity>0</DocSecurity>
  <Lines>32</Lines>
  <Paragraphs>9</Paragraphs>
  <ScaleCrop>false</ScaleCrop>
  <Company>P R C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</cp:lastModifiedBy>
  <cp:revision>3</cp:revision>
  <cp:lastPrinted>2025-04-09T07:19:00Z</cp:lastPrinted>
  <dcterms:created xsi:type="dcterms:W3CDTF">2025-04-09T04:01:00Z</dcterms:created>
  <dcterms:modified xsi:type="dcterms:W3CDTF">2026-06-15T01:02:00Z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eyJoZGlkIjoiMWUwN2NlNGFiOTRjZDBjYjIxNzI3MTBlYTgwMDZjY2IifQ==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812446AF64A9489F9ED6DD47CF79E330_13</vt:lpwstr>
  </property>
</Properties>
</file>